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5101EB">
      <w:pPr>
        <w:widowControl/>
        <w:rPr>
          <w:rFonts w:ascii="华文中宋" w:hAnsi="华文中宋" w:eastAsia="仿宋_GB2312" w:cs="宋体"/>
          <w:color w:val="auto"/>
          <w:kern w:val="0"/>
          <w:sz w:val="36"/>
          <w:szCs w:val="36"/>
        </w:rPr>
      </w:pPr>
      <w:r>
        <w:rPr>
          <w:rFonts w:hint="eastAsia" w:ascii="仿宋_GB2312" w:hAnsi="仿宋_GB2312" w:eastAsia="仿宋_GB2312" w:cs="仿宋_GB2312"/>
          <w:color w:val="auto"/>
          <w:kern w:val="0"/>
          <w:sz w:val="30"/>
          <w:szCs w:val="30"/>
        </w:rPr>
        <w:t>附件1</w:t>
      </w:r>
    </w:p>
    <w:p w14:paraId="5DCF49F7">
      <w:pPr>
        <w:widowControl/>
        <w:spacing w:afterLines="100"/>
        <w:jc w:val="center"/>
        <w:rPr>
          <w:rFonts w:hint="eastAsia" w:ascii="华文中宋" w:hAnsi="华文中宋" w:eastAsia="华文中宋" w:cs="宋体"/>
          <w:b/>
          <w:color w:val="auto"/>
          <w:kern w:val="0"/>
          <w:sz w:val="36"/>
          <w:szCs w:val="36"/>
          <w:lang w:val="en-US" w:eastAsia="zh-CN"/>
        </w:rPr>
      </w:pPr>
      <w:r>
        <w:rPr>
          <w:rFonts w:hint="eastAsia" w:ascii="华文中宋" w:hAnsi="华文中宋" w:eastAsia="华文中宋" w:cs="宋体"/>
          <w:b/>
          <w:color w:val="auto"/>
          <w:kern w:val="0"/>
          <w:sz w:val="36"/>
          <w:szCs w:val="36"/>
        </w:rPr>
        <w:t>培训课程及师资</w:t>
      </w:r>
      <w:r>
        <w:rPr>
          <w:rFonts w:hint="eastAsia" w:ascii="华文中宋" w:hAnsi="华文中宋" w:eastAsia="华文中宋" w:cs="宋体"/>
          <w:b/>
          <w:color w:val="auto"/>
          <w:kern w:val="0"/>
          <w:sz w:val="36"/>
          <w:szCs w:val="36"/>
          <w:lang w:val="en-US" w:eastAsia="zh-CN"/>
        </w:rPr>
        <w:t>简介</w:t>
      </w:r>
    </w:p>
    <w:p w14:paraId="58A5780D">
      <w:pPr>
        <w:ind w:firstLine="600" w:firstLineChars="200"/>
        <w:jc w:val="left"/>
        <w:rPr>
          <w:rFonts w:ascii="仿宋_GB2312" w:hAnsi="仿宋" w:eastAsia="仿宋_GB2312" w:cs="仿宋"/>
          <w:color w:val="auto"/>
          <w:kern w:val="0"/>
          <w:sz w:val="30"/>
          <w:szCs w:val="30"/>
        </w:rPr>
      </w:pPr>
      <w:r>
        <w:rPr>
          <w:rFonts w:hint="eastAsia" w:ascii="仿宋_GB2312" w:hAnsi="仿宋" w:eastAsia="仿宋_GB2312" w:cs="仿宋"/>
          <w:color w:val="auto"/>
          <w:kern w:val="0"/>
          <w:sz w:val="30"/>
          <w:szCs w:val="30"/>
        </w:rPr>
        <w:t>自2010年起，应广大会员单位需求，中国物业管理协会设施设备技术专业委员会编写出版了《物业承接查验操作指南》《物业设施设备管理指南》丛书。丛书遵循《物业管理条例》基本原则，紧扣物业服务企业管理职责，汇集行业发展多年来承接查验操作经验，是集技术性、实用性与指导性于一体的系列丛书，2020年—2021年应行业发展需求中国物业管理协会分别对两本丛书进行了修订。</w:t>
      </w:r>
    </w:p>
    <w:p w14:paraId="172D34E5">
      <w:pPr>
        <w:ind w:firstLine="600" w:firstLineChars="200"/>
        <w:rPr>
          <w:rFonts w:ascii="仿宋_GB2312" w:hAnsi="仿宋" w:eastAsia="仿宋_GB2312" w:cs="仿宋"/>
          <w:color w:val="auto"/>
          <w:kern w:val="0"/>
          <w:sz w:val="30"/>
          <w:szCs w:val="30"/>
        </w:rPr>
      </w:pPr>
      <w:r>
        <w:rPr>
          <w:rFonts w:hint="eastAsia" w:ascii="仿宋_GB2312" w:hAnsi="仿宋" w:eastAsia="仿宋_GB2312" w:cs="仿宋"/>
          <w:color w:val="auto"/>
          <w:kern w:val="0"/>
          <w:sz w:val="30"/>
          <w:szCs w:val="30"/>
        </w:rPr>
        <w:t>中国物业管理协会培训中心以两本丛书为教材，根据物业管理行业发展新需求开展了</w:t>
      </w:r>
      <w:r>
        <w:rPr>
          <w:rFonts w:ascii="仿宋_GB2312" w:hAnsi="仿宋" w:eastAsia="仿宋_GB2312" w:cs="仿宋"/>
          <w:color w:val="auto"/>
          <w:kern w:val="0"/>
          <w:sz w:val="30"/>
          <w:szCs w:val="30"/>
        </w:rPr>
        <w:t>8</w:t>
      </w:r>
      <w:r>
        <w:rPr>
          <w:rFonts w:hint="eastAsia" w:ascii="仿宋_GB2312" w:hAnsi="仿宋" w:eastAsia="仿宋_GB2312" w:cs="仿宋"/>
          <w:color w:val="auto"/>
          <w:kern w:val="0"/>
          <w:sz w:val="30"/>
          <w:szCs w:val="30"/>
          <w:lang w:val="en-US" w:eastAsia="zh-CN"/>
        </w:rPr>
        <w:t>6</w:t>
      </w:r>
      <w:r>
        <w:rPr>
          <w:rFonts w:hint="eastAsia" w:ascii="仿宋_GB2312" w:hAnsi="仿宋" w:eastAsia="仿宋_GB2312" w:cs="仿宋"/>
          <w:color w:val="auto"/>
          <w:kern w:val="0"/>
          <w:sz w:val="30"/>
          <w:szCs w:val="30"/>
        </w:rPr>
        <w:t>期“全国物业承接查验与设施设备管理专业技术岗位培训班”，旨在为物业管理行业持续培养既懂政策法规与业务标准，又懂建筑物本体及设备设施管理流程和专业技能的复合型人才，欢迎参与！</w:t>
      </w:r>
    </w:p>
    <w:p w14:paraId="2CC85757">
      <w:pPr>
        <w:ind w:firstLine="600" w:firstLineChars="200"/>
        <w:jc w:val="left"/>
        <w:rPr>
          <w:rFonts w:ascii="仿宋_GB2312" w:hAnsi="仿宋" w:eastAsia="仿宋_GB2312" w:cs="仿宋"/>
          <w:color w:val="auto"/>
          <w:kern w:val="0"/>
          <w:sz w:val="30"/>
          <w:szCs w:val="30"/>
        </w:rPr>
      </w:pPr>
      <w:r>
        <w:rPr>
          <w:rFonts w:hint="eastAsia" w:ascii="仿宋_GB2312" w:hAnsi="仿宋" w:eastAsia="仿宋_GB2312" w:cs="仿宋"/>
          <w:color w:val="auto"/>
          <w:kern w:val="0"/>
          <w:sz w:val="30"/>
          <w:szCs w:val="30"/>
        </w:rPr>
        <w:br w:type="page"/>
      </w:r>
    </w:p>
    <w:p w14:paraId="6022975F">
      <w:pPr>
        <w:spacing w:line="600" w:lineRule="exact"/>
        <w:ind w:firstLine="301" w:firstLineChars="100"/>
        <w:rPr>
          <w:rFonts w:ascii="仿宋_GB2312" w:hAnsi="仿宋" w:eastAsia="仿宋_GB2312" w:cs="仿宋"/>
          <w:b/>
          <w:bCs/>
          <w:color w:val="auto"/>
          <w:kern w:val="0"/>
          <w:sz w:val="30"/>
          <w:szCs w:val="30"/>
        </w:rPr>
      </w:pPr>
      <w:r>
        <w:rPr>
          <w:rFonts w:hint="eastAsia" w:ascii="仿宋_GB2312" w:hAnsi="仿宋" w:eastAsia="仿宋_GB2312" w:cs="仿宋"/>
          <w:b/>
          <w:bCs/>
          <w:color w:val="auto"/>
          <w:kern w:val="0"/>
          <w:sz w:val="30"/>
          <w:szCs w:val="30"/>
        </w:rPr>
        <w:t>1.王寿轩  老师</w:t>
      </w:r>
    </w:p>
    <w:p w14:paraId="473A607D">
      <w:pPr>
        <w:spacing w:line="600" w:lineRule="exact"/>
        <w:ind w:firstLine="602" w:firstLineChars="200"/>
        <w:rPr>
          <w:rFonts w:ascii="仿宋_GB2312" w:hAnsi="仿宋" w:eastAsia="仿宋_GB2312" w:cs="仿宋"/>
          <w:color w:val="auto"/>
          <w:kern w:val="0"/>
          <w:sz w:val="30"/>
          <w:szCs w:val="30"/>
        </w:rPr>
      </w:pPr>
      <w:r>
        <w:rPr>
          <w:rFonts w:hint="eastAsia" w:ascii="仿宋_GB2312" w:hAnsi="仿宋" w:eastAsia="仿宋_GB2312" w:cs="仿宋"/>
          <w:b/>
          <w:bCs/>
          <w:color w:val="auto"/>
          <w:kern w:val="0"/>
          <w:sz w:val="30"/>
          <w:szCs w:val="30"/>
        </w:rPr>
        <w:t>主讲：</w:t>
      </w:r>
      <w:r>
        <w:rPr>
          <w:rFonts w:hint="eastAsia" w:ascii="仿宋_GB2312" w:hAnsi="仿宋" w:eastAsia="仿宋_GB2312" w:cs="仿宋"/>
          <w:color w:val="auto"/>
          <w:kern w:val="0"/>
          <w:sz w:val="30"/>
          <w:szCs w:val="30"/>
        </w:rPr>
        <w:t>空调系统、给排水系统</w:t>
      </w:r>
    </w:p>
    <w:p w14:paraId="54FED882">
      <w:pPr>
        <w:spacing w:line="600" w:lineRule="exact"/>
        <w:ind w:firstLine="602" w:firstLineChars="200"/>
        <w:rPr>
          <w:rFonts w:ascii="仿宋_GB2312" w:hAnsi="仿宋_GB2312" w:eastAsia="仿宋_GB2312" w:cs="仿宋_GB2312"/>
          <w:color w:val="auto"/>
          <w:kern w:val="0"/>
          <w:sz w:val="30"/>
          <w:szCs w:val="30"/>
        </w:rPr>
      </w:pPr>
      <w:r>
        <w:rPr>
          <w:rFonts w:hint="eastAsia" w:ascii="仿宋_GB2312" w:hAnsi="仿宋" w:eastAsia="仿宋_GB2312" w:cs="仿宋"/>
          <w:b/>
          <w:bCs/>
          <w:color w:val="auto"/>
          <w:kern w:val="0"/>
          <w:sz w:val="30"/>
          <w:szCs w:val="30"/>
        </w:rPr>
        <w:t>职务</w:t>
      </w:r>
      <w:r>
        <w:rPr>
          <w:rFonts w:hint="eastAsia" w:ascii="仿宋_GB2312" w:hAnsi="仿宋_GB2312" w:eastAsia="仿宋_GB2312" w:cs="仿宋_GB2312"/>
          <w:b/>
          <w:bCs/>
          <w:color w:val="auto"/>
          <w:kern w:val="0"/>
          <w:sz w:val="30"/>
          <w:szCs w:val="30"/>
        </w:rPr>
        <w:t>：</w:t>
      </w:r>
      <w:r>
        <w:rPr>
          <w:rFonts w:hint="eastAsia" w:ascii="仿宋_GB2312" w:hAnsi="仿宋_GB2312" w:eastAsia="仿宋_GB2312" w:cs="仿宋_GB2312"/>
          <w:color w:val="auto"/>
          <w:w w:val="96"/>
          <w:kern w:val="0"/>
          <w:sz w:val="30"/>
          <w:szCs w:val="30"/>
        </w:rPr>
        <w:t>中国物业管理</w:t>
      </w:r>
      <w:r>
        <w:rPr>
          <w:rFonts w:hint="eastAsia" w:ascii="仿宋_GB2312" w:hAnsi="仿宋" w:eastAsia="仿宋_GB2312" w:cs="仿宋"/>
          <w:color w:val="auto"/>
          <w:w w:val="96"/>
          <w:kern w:val="0"/>
          <w:sz w:val="30"/>
          <w:szCs w:val="30"/>
        </w:rPr>
        <w:t xml:space="preserve">协会 </w:t>
      </w:r>
      <w:r>
        <w:rPr>
          <w:rFonts w:hint="eastAsia" w:ascii="仿宋_GB2312" w:hAnsi="仿宋_GB2312" w:eastAsia="仿宋_GB2312" w:cs="仿宋_GB2312"/>
          <w:color w:val="auto"/>
          <w:w w:val="96"/>
          <w:kern w:val="0"/>
          <w:sz w:val="30"/>
          <w:szCs w:val="30"/>
        </w:rPr>
        <w:t>高级顾问</w:t>
      </w:r>
    </w:p>
    <w:p w14:paraId="3E343D58">
      <w:pPr>
        <w:spacing w:line="600" w:lineRule="exact"/>
        <w:ind w:firstLine="1440" w:firstLineChars="500"/>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w w:val="96"/>
          <w:kern w:val="0"/>
          <w:sz w:val="30"/>
          <w:szCs w:val="30"/>
        </w:rPr>
        <w:t>中国</w:t>
      </w:r>
      <w:r>
        <w:rPr>
          <w:rFonts w:hint="eastAsia" w:ascii="仿宋_GB2312" w:hAnsi="仿宋_GB2312" w:eastAsia="仿宋_GB2312" w:cs="仿宋_GB2312"/>
          <w:color w:val="auto"/>
          <w:kern w:val="0"/>
          <w:sz w:val="30"/>
          <w:szCs w:val="30"/>
        </w:rPr>
        <w:t>物业管理</w:t>
      </w:r>
      <w:r>
        <w:rPr>
          <w:rFonts w:hint="eastAsia" w:ascii="仿宋_GB2312" w:hAnsi="仿宋" w:eastAsia="仿宋_GB2312" w:cs="仿宋"/>
          <w:color w:val="auto"/>
          <w:w w:val="96"/>
          <w:kern w:val="0"/>
          <w:sz w:val="30"/>
          <w:szCs w:val="30"/>
        </w:rPr>
        <w:t>协会</w:t>
      </w:r>
      <w:r>
        <w:rPr>
          <w:rFonts w:hint="eastAsia" w:ascii="仿宋_GB2312" w:hAnsi="仿宋_GB2312" w:eastAsia="仿宋_GB2312" w:cs="仿宋_GB2312"/>
          <w:color w:val="auto"/>
          <w:w w:val="96"/>
          <w:kern w:val="0"/>
          <w:sz w:val="30"/>
          <w:szCs w:val="30"/>
        </w:rPr>
        <w:t>设施设备技术专业委员会 高级顾问</w:t>
      </w:r>
    </w:p>
    <w:p w14:paraId="52A2FC49">
      <w:pPr>
        <w:spacing w:line="600" w:lineRule="exact"/>
        <w:ind w:firstLine="1500" w:firstLineChars="500"/>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中国物业管理协会标准化建设专业委员会专家委员</w:t>
      </w:r>
    </w:p>
    <w:p w14:paraId="18F97361">
      <w:pPr>
        <w:widowControl/>
        <w:spacing w:line="600" w:lineRule="exact"/>
        <w:ind w:firstLine="1500" w:firstLineChars="500"/>
        <w:jc w:val="left"/>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河南财经政法大学外聘讲师</w:t>
      </w:r>
    </w:p>
    <w:p w14:paraId="16BAACF3">
      <w:pPr>
        <w:widowControl/>
        <w:spacing w:line="600" w:lineRule="exact"/>
        <w:ind w:firstLine="1500" w:firstLineChars="500"/>
        <w:jc w:val="left"/>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河南财政金融学院外聘教授</w:t>
      </w:r>
    </w:p>
    <w:p w14:paraId="05E6E1D9">
      <w:pPr>
        <w:widowControl/>
        <w:spacing w:line="600" w:lineRule="exact"/>
        <w:ind w:firstLine="1500" w:firstLineChars="500"/>
        <w:jc w:val="left"/>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山东山青物业管理研究院外聘教授</w:t>
      </w:r>
    </w:p>
    <w:p w14:paraId="22962458">
      <w:pPr>
        <w:spacing w:line="600" w:lineRule="exact"/>
        <w:ind w:firstLine="602" w:firstLineChars="200"/>
        <w:rPr>
          <w:rFonts w:ascii="仿宋_GB2312" w:hAnsi="仿宋" w:eastAsia="仿宋_GB2312" w:cs="仿宋"/>
          <w:b/>
          <w:bCs/>
          <w:color w:val="auto"/>
          <w:kern w:val="0"/>
          <w:sz w:val="30"/>
          <w:szCs w:val="30"/>
        </w:rPr>
      </w:pPr>
      <w:r>
        <w:rPr>
          <w:rFonts w:hint="eastAsia" w:ascii="仿宋_GB2312" w:hAnsi="仿宋" w:eastAsia="仿宋_GB2312" w:cs="仿宋"/>
          <w:b/>
          <w:bCs/>
          <w:color w:val="auto"/>
          <w:kern w:val="0"/>
          <w:sz w:val="30"/>
          <w:szCs w:val="30"/>
        </w:rPr>
        <w:t>职称：</w:t>
      </w:r>
      <w:r>
        <w:rPr>
          <w:rFonts w:hint="eastAsia" w:ascii="仿宋_GB2312" w:hAnsi="仿宋_GB2312" w:eastAsia="仿宋_GB2312" w:cs="仿宋_GB2312"/>
          <w:color w:val="auto"/>
          <w:kern w:val="0"/>
          <w:sz w:val="30"/>
          <w:szCs w:val="30"/>
        </w:rPr>
        <w:t>空调工程师/设备工程师/物业管理师</w:t>
      </w:r>
    </w:p>
    <w:p w14:paraId="09EF3813">
      <w:pPr>
        <w:widowControl/>
        <w:spacing w:line="600" w:lineRule="exact"/>
        <w:ind w:firstLine="602" w:firstLineChars="200"/>
        <w:rPr>
          <w:rFonts w:ascii="仿宋_GB2312" w:hAnsi="仿宋_GB2312" w:eastAsia="仿宋_GB2312" w:cs="仿宋_GB2312"/>
          <w:color w:val="auto"/>
          <w:kern w:val="0"/>
          <w:sz w:val="30"/>
          <w:szCs w:val="30"/>
        </w:rPr>
      </w:pPr>
      <w:r>
        <w:rPr>
          <w:rFonts w:hint="eastAsia" w:ascii="仿宋_GB2312" w:hAnsi="仿宋_GB2312" w:eastAsia="仿宋_GB2312" w:cs="仿宋_GB2312"/>
          <w:b/>
          <w:bCs/>
          <w:color w:val="auto"/>
          <w:kern w:val="0"/>
          <w:sz w:val="30"/>
          <w:szCs w:val="30"/>
        </w:rPr>
        <w:t>简介：</w:t>
      </w:r>
      <w:r>
        <w:rPr>
          <w:rFonts w:hint="eastAsia" w:ascii="仿宋_GB2312" w:hAnsi="仿宋_GB2312" w:eastAsia="仿宋_GB2312" w:cs="仿宋_GB2312"/>
          <w:color w:val="auto"/>
          <w:kern w:val="0"/>
          <w:sz w:val="30"/>
          <w:szCs w:val="30"/>
        </w:rPr>
        <w:t>从事暖通空调专业工程设计、安装调试、运行维护、技术改造及设施设备管理50余年，在空调运行维护、技术改造、安装调试、节能减排、设备管理、专业教学等方面解决了多项疑难问题，积累了丰富的实践经验，获得了多项成果。</w:t>
      </w:r>
    </w:p>
    <w:p w14:paraId="0CEA3E46">
      <w:pPr>
        <w:widowControl/>
        <w:spacing w:line="600" w:lineRule="exact"/>
        <w:ind w:firstLine="600" w:firstLineChars="200"/>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王寿轩老师在担任中国物业管理协会设施设备技术专业委员会高级顾问与中国物业管理协会标准化建设专业委员会专家委员期间，作为主要评审专家参加了国家标准《空调通风系统运行管理规范》（2016修订版）和行业标准《绿色建筑运行维护技术规范》编写工作。作为执行副主编及副主编，负责编写《物业项目经理实操精选》；主笔《物业承接查验操作指南》概述、空调、给排水部分；主笔《物业设施设备管理指南》管理基础、空调系统部分。2009年“楼宇设施设备管理新模式”获中国设备工程学会TnPM分会年会“优秀论文奖”，2016年在河南省科技学会年会发表专业论文与专题演讲“绿色建筑运行维护管理”。</w:t>
      </w:r>
    </w:p>
    <w:p w14:paraId="3E14787B">
      <w:pPr>
        <w:spacing w:line="580" w:lineRule="exact"/>
        <w:ind w:firstLine="301" w:firstLineChars="100"/>
        <w:rPr>
          <w:rFonts w:ascii="仿宋_GB2312" w:hAnsi="仿宋" w:eastAsia="仿宋_GB2312" w:cs="仿宋"/>
          <w:b/>
          <w:bCs/>
          <w:color w:val="auto"/>
          <w:kern w:val="0"/>
          <w:sz w:val="30"/>
          <w:szCs w:val="30"/>
        </w:rPr>
      </w:pPr>
      <w:r>
        <w:rPr>
          <w:rFonts w:hint="eastAsia" w:ascii="仿宋_GB2312" w:hAnsi="仿宋" w:eastAsia="仿宋_GB2312" w:cs="仿宋"/>
          <w:b/>
          <w:bCs/>
          <w:color w:val="auto"/>
          <w:kern w:val="0"/>
          <w:sz w:val="30"/>
          <w:szCs w:val="30"/>
        </w:rPr>
        <w:t>2.王利敏  老师</w:t>
      </w:r>
    </w:p>
    <w:p w14:paraId="1D9F9896">
      <w:pPr>
        <w:widowControl/>
        <w:spacing w:line="580" w:lineRule="exact"/>
        <w:ind w:firstLine="602" w:firstLineChars="200"/>
        <w:rPr>
          <w:rFonts w:ascii="仿宋_GB2312" w:hAnsi="仿宋_GB2312" w:eastAsia="仿宋_GB2312" w:cs="仿宋_GB2312"/>
          <w:color w:val="auto"/>
          <w:kern w:val="0"/>
          <w:sz w:val="30"/>
          <w:szCs w:val="30"/>
        </w:rPr>
      </w:pPr>
      <w:r>
        <w:rPr>
          <w:rFonts w:hint="eastAsia" w:ascii="仿宋_GB2312" w:hAnsi="仿宋_GB2312" w:eastAsia="仿宋_GB2312" w:cs="仿宋_GB2312"/>
          <w:b/>
          <w:bCs/>
          <w:color w:val="auto"/>
          <w:kern w:val="0"/>
          <w:sz w:val="30"/>
          <w:szCs w:val="30"/>
        </w:rPr>
        <w:t>主讲</w:t>
      </w:r>
      <w:r>
        <w:rPr>
          <w:rFonts w:hint="eastAsia" w:ascii="仿宋_GB2312" w:hAnsi="仿宋_GB2312" w:eastAsia="仿宋_GB2312" w:cs="仿宋_GB2312"/>
          <w:color w:val="auto"/>
          <w:kern w:val="0"/>
          <w:sz w:val="30"/>
          <w:szCs w:val="30"/>
        </w:rPr>
        <w:t>：房屋及设施管理、消防设施设备管理</w:t>
      </w:r>
    </w:p>
    <w:p w14:paraId="658B6E81">
      <w:pPr>
        <w:spacing w:line="580" w:lineRule="exact"/>
        <w:ind w:firstLine="602" w:firstLineChars="200"/>
        <w:jc w:val="left"/>
        <w:rPr>
          <w:rFonts w:ascii="仿宋_GB2312" w:hAnsi="仿宋_GB2312" w:eastAsia="仿宋_GB2312" w:cs="仿宋_GB2312"/>
          <w:color w:val="auto"/>
          <w:w w:val="93"/>
          <w:kern w:val="0"/>
          <w:sz w:val="30"/>
          <w:szCs w:val="30"/>
        </w:rPr>
      </w:pPr>
      <w:r>
        <w:rPr>
          <w:rFonts w:hint="eastAsia" w:ascii="仿宋_GB2312" w:hAnsi="仿宋_GB2312" w:eastAsia="仿宋_GB2312" w:cs="仿宋_GB2312"/>
          <w:b/>
          <w:bCs/>
          <w:color w:val="auto"/>
          <w:kern w:val="0"/>
          <w:sz w:val="30"/>
          <w:szCs w:val="30"/>
        </w:rPr>
        <w:t>职务</w:t>
      </w:r>
      <w:r>
        <w:rPr>
          <w:rFonts w:hint="eastAsia" w:ascii="仿宋_GB2312" w:hAnsi="仿宋_GB2312" w:eastAsia="仿宋_GB2312" w:cs="仿宋_GB2312"/>
          <w:color w:val="auto"/>
          <w:kern w:val="0"/>
          <w:sz w:val="30"/>
          <w:szCs w:val="30"/>
        </w:rPr>
        <w:t>：</w:t>
      </w:r>
      <w:r>
        <w:rPr>
          <w:rFonts w:hint="eastAsia" w:ascii="仿宋_GB2312" w:hAnsi="仿宋_GB2312" w:eastAsia="仿宋_GB2312" w:cs="仿宋_GB2312"/>
          <w:color w:val="auto"/>
          <w:w w:val="86"/>
          <w:kern w:val="0"/>
          <w:sz w:val="30"/>
          <w:szCs w:val="30"/>
        </w:rPr>
        <w:t>中国物业</w:t>
      </w:r>
      <w:r>
        <w:rPr>
          <w:rFonts w:hint="eastAsia" w:ascii="仿宋_GB2312" w:hAnsi="仿宋" w:eastAsia="仿宋_GB2312" w:cs="仿宋"/>
          <w:color w:val="auto"/>
          <w:w w:val="86"/>
          <w:kern w:val="0"/>
          <w:sz w:val="30"/>
          <w:szCs w:val="30"/>
        </w:rPr>
        <w:t>管理</w:t>
      </w:r>
      <w:r>
        <w:rPr>
          <w:rFonts w:hint="eastAsia" w:ascii="仿宋_GB2312" w:hAnsi="仿宋_GB2312" w:eastAsia="仿宋_GB2312" w:cs="仿宋_GB2312"/>
          <w:color w:val="auto"/>
          <w:w w:val="86"/>
          <w:kern w:val="0"/>
          <w:sz w:val="30"/>
          <w:szCs w:val="30"/>
        </w:rPr>
        <w:t>协会设施设备技术专业委员会 副主任兼秘书长</w:t>
      </w:r>
    </w:p>
    <w:p w14:paraId="47570997">
      <w:pPr>
        <w:widowControl/>
        <w:spacing w:line="580" w:lineRule="exact"/>
        <w:ind w:firstLine="1485" w:firstLineChars="550"/>
        <w:rPr>
          <w:rFonts w:ascii="仿宋_GB2312" w:hAnsi="仿宋_GB2312" w:eastAsia="仿宋_GB2312" w:cs="仿宋_GB2312"/>
          <w:color w:val="auto"/>
          <w:w w:val="90"/>
          <w:kern w:val="0"/>
          <w:sz w:val="30"/>
          <w:szCs w:val="30"/>
        </w:rPr>
      </w:pPr>
      <w:r>
        <w:rPr>
          <w:rFonts w:hint="eastAsia" w:ascii="仿宋_GB2312" w:hAnsi="仿宋_GB2312" w:eastAsia="仿宋_GB2312" w:cs="仿宋_GB2312"/>
          <w:color w:val="auto"/>
          <w:w w:val="90"/>
          <w:kern w:val="0"/>
          <w:sz w:val="30"/>
          <w:szCs w:val="30"/>
        </w:rPr>
        <w:t>广东省物业管理行业协会物业管理设施设备专家库 专家</w:t>
      </w:r>
    </w:p>
    <w:p w14:paraId="6E4F6773">
      <w:pPr>
        <w:widowControl/>
        <w:spacing w:line="580" w:lineRule="exact"/>
        <w:ind w:firstLine="602" w:firstLineChars="200"/>
        <w:jc w:val="left"/>
        <w:rPr>
          <w:rFonts w:ascii="仿宋_GB2312" w:hAnsi="仿宋_GB2312" w:eastAsia="仿宋_GB2312" w:cs="仿宋_GB2312"/>
          <w:color w:val="auto"/>
          <w:kern w:val="0"/>
          <w:sz w:val="30"/>
          <w:szCs w:val="30"/>
        </w:rPr>
      </w:pPr>
      <w:r>
        <w:rPr>
          <w:rFonts w:hint="eastAsia" w:ascii="仿宋_GB2312" w:hAnsi="仿宋_GB2312" w:eastAsia="仿宋_GB2312" w:cs="仿宋_GB2312"/>
          <w:b/>
          <w:bCs/>
          <w:color w:val="auto"/>
          <w:kern w:val="0"/>
          <w:sz w:val="30"/>
          <w:szCs w:val="30"/>
        </w:rPr>
        <w:t>职称</w:t>
      </w:r>
      <w:r>
        <w:rPr>
          <w:rFonts w:hint="eastAsia" w:ascii="仿宋_GB2312" w:hAnsi="仿宋_GB2312" w:eastAsia="仿宋_GB2312" w:cs="仿宋_GB2312"/>
          <w:color w:val="auto"/>
          <w:kern w:val="0"/>
          <w:sz w:val="30"/>
          <w:szCs w:val="30"/>
        </w:rPr>
        <w:t>：船舶轮机工程师/物业管理师</w:t>
      </w:r>
    </w:p>
    <w:p w14:paraId="00C453DA">
      <w:pPr>
        <w:widowControl/>
        <w:spacing w:line="580" w:lineRule="exact"/>
        <w:ind w:firstLine="602" w:firstLineChars="200"/>
        <w:rPr>
          <w:rFonts w:ascii="仿宋_GB2312" w:hAnsi="仿宋_GB2312" w:eastAsia="仿宋_GB2312" w:cs="仿宋_GB2312"/>
          <w:color w:val="auto"/>
          <w:kern w:val="0"/>
          <w:sz w:val="30"/>
          <w:szCs w:val="30"/>
        </w:rPr>
      </w:pPr>
      <w:r>
        <w:rPr>
          <w:rFonts w:hint="eastAsia" w:ascii="仿宋_GB2312" w:hAnsi="仿宋_GB2312" w:eastAsia="仿宋_GB2312" w:cs="仿宋_GB2312"/>
          <w:b/>
          <w:bCs/>
          <w:color w:val="auto"/>
          <w:kern w:val="0"/>
          <w:sz w:val="30"/>
          <w:szCs w:val="30"/>
        </w:rPr>
        <w:t>简介</w:t>
      </w:r>
      <w:r>
        <w:rPr>
          <w:rFonts w:hint="eastAsia" w:ascii="仿宋_GB2312" w:hAnsi="仿宋_GB2312" w:eastAsia="仿宋_GB2312" w:cs="仿宋_GB2312"/>
          <w:color w:val="auto"/>
          <w:kern w:val="0"/>
          <w:sz w:val="30"/>
          <w:szCs w:val="30"/>
        </w:rPr>
        <w:t>：在广州市三原物业管理有限公司（原国家一级资质物业服务企业）担任总经理21年，负责全面经营管理工作。并在公司成立前期负责筹划建立公司物业设施设备运维组织体系，担任工程经理5年。负责公司质量管理体系的建立和运行工作。</w:t>
      </w:r>
    </w:p>
    <w:p w14:paraId="284DD5F9">
      <w:pPr>
        <w:pStyle w:val="4"/>
        <w:spacing w:line="580" w:lineRule="exact"/>
        <w:ind w:firstLine="600"/>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王利敏老师在担任广州市物业管理行业协会副会长、常务副会长期间，负责编写了《物业设施设备故障分析及处理案例集》培训教材，参与评审了《物业服务企业安全生产标准化规范》。在担任中国物业管理协会设施设备技术专业委员会委员、常务副主任兼秘书长期间，参加2010年和2013年中国物业管理协会设施设备技术专业委员会编著出版的《物业设施设备管理指南》和《物业承接查验操作指南》，担任副主编和执行副主编并参与执笔、篇章统稿工作。自2010年4月至今，担任中国物业管理协会《物业承接查验与设施设备管理专业技术岗位》培训班“房屋及设施”与“消防系统”两门专业课的授课专家。2019年和2020年负责并完成两本《指南》教材的首次修订工作。</w:t>
      </w:r>
    </w:p>
    <w:p w14:paraId="13C4C345">
      <w:pPr>
        <w:spacing w:line="580" w:lineRule="exact"/>
        <w:ind w:firstLine="600" w:firstLineChars="200"/>
        <w:jc w:val="left"/>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2021年，王利敏老师参加了中国物业管理协会设施设备技术专业委员会《超高层建筑设施设备管理指南》的编著工作，任编写委员会统筹常务组委员。</w:t>
      </w:r>
    </w:p>
    <w:p w14:paraId="20424411">
      <w:pPr>
        <w:spacing w:line="580" w:lineRule="exact"/>
        <w:ind w:firstLine="301" w:firstLineChars="100"/>
        <w:rPr>
          <w:rFonts w:ascii="仿宋_GB2312" w:hAnsi="仿宋" w:eastAsia="仿宋_GB2312" w:cs="仿宋"/>
          <w:b/>
          <w:bCs/>
          <w:color w:val="auto"/>
          <w:kern w:val="0"/>
          <w:sz w:val="30"/>
          <w:szCs w:val="30"/>
        </w:rPr>
      </w:pPr>
    </w:p>
    <w:p w14:paraId="696E07FC">
      <w:pPr>
        <w:spacing w:line="580" w:lineRule="exact"/>
        <w:ind w:firstLine="301" w:firstLineChars="100"/>
        <w:rPr>
          <w:rFonts w:ascii="仿宋_GB2312" w:hAnsi="仿宋" w:eastAsia="仿宋_GB2312" w:cs="仿宋"/>
          <w:b/>
          <w:bCs/>
          <w:color w:val="auto"/>
          <w:kern w:val="0"/>
          <w:sz w:val="30"/>
          <w:szCs w:val="30"/>
        </w:rPr>
      </w:pPr>
      <w:r>
        <w:rPr>
          <w:rFonts w:hint="eastAsia" w:ascii="仿宋_GB2312" w:hAnsi="仿宋" w:eastAsia="仿宋_GB2312" w:cs="仿宋"/>
          <w:b/>
          <w:bCs/>
          <w:color w:val="auto"/>
          <w:kern w:val="0"/>
          <w:sz w:val="30"/>
          <w:szCs w:val="30"/>
        </w:rPr>
        <w:t>3.杨伟栋  老师</w:t>
      </w:r>
    </w:p>
    <w:p w14:paraId="37DA9AE1">
      <w:pPr>
        <w:spacing w:line="580" w:lineRule="exact"/>
        <w:ind w:firstLine="602" w:firstLineChars="200"/>
        <w:rPr>
          <w:rFonts w:ascii="仿宋_GB2312" w:hAnsi="仿宋" w:eastAsia="仿宋_GB2312" w:cs="仿宋"/>
          <w:color w:val="auto"/>
          <w:kern w:val="0"/>
          <w:sz w:val="30"/>
          <w:szCs w:val="30"/>
        </w:rPr>
      </w:pPr>
      <w:r>
        <w:rPr>
          <w:rFonts w:hint="eastAsia" w:ascii="仿宋_GB2312" w:hAnsi="仿宋" w:eastAsia="仿宋_GB2312" w:cs="仿宋"/>
          <w:b/>
          <w:bCs/>
          <w:color w:val="auto"/>
          <w:kern w:val="0"/>
          <w:sz w:val="30"/>
          <w:szCs w:val="30"/>
        </w:rPr>
        <w:t>主讲：</w:t>
      </w:r>
      <w:r>
        <w:rPr>
          <w:rFonts w:hint="eastAsia" w:ascii="仿宋_GB2312" w:hAnsi="仿宋" w:eastAsia="仿宋_GB2312" w:cs="仿宋"/>
          <w:color w:val="auto"/>
          <w:kern w:val="0"/>
          <w:sz w:val="30"/>
          <w:szCs w:val="30"/>
        </w:rPr>
        <w:t>强电系统、弱电系统</w:t>
      </w:r>
    </w:p>
    <w:p w14:paraId="7E8B4B86">
      <w:pPr>
        <w:spacing w:line="580" w:lineRule="exact"/>
        <w:ind w:firstLine="602" w:firstLineChars="200"/>
        <w:rPr>
          <w:rFonts w:ascii="仿宋_GB2312" w:hAnsi="仿宋" w:eastAsia="仿宋_GB2312" w:cs="仿宋"/>
          <w:color w:val="auto"/>
          <w:kern w:val="0"/>
          <w:sz w:val="30"/>
          <w:szCs w:val="30"/>
        </w:rPr>
      </w:pPr>
      <w:r>
        <w:rPr>
          <w:rFonts w:hint="eastAsia" w:ascii="仿宋_GB2312" w:hAnsi="仿宋" w:eastAsia="仿宋_GB2312" w:cs="仿宋"/>
          <w:b/>
          <w:bCs/>
          <w:color w:val="auto"/>
          <w:kern w:val="0"/>
          <w:sz w:val="30"/>
          <w:szCs w:val="30"/>
        </w:rPr>
        <w:t>职务：</w:t>
      </w:r>
      <w:r>
        <w:rPr>
          <w:rFonts w:hint="eastAsia" w:ascii="仿宋_GB2312" w:hAnsi="仿宋" w:eastAsia="仿宋_GB2312" w:cs="仿宋"/>
          <w:color w:val="auto"/>
          <w:kern w:val="0"/>
          <w:sz w:val="30"/>
          <w:szCs w:val="30"/>
        </w:rPr>
        <w:t>上海锐翔上房物业管理有限公司 总工程师</w:t>
      </w:r>
    </w:p>
    <w:p w14:paraId="46BAC5FC">
      <w:pPr>
        <w:spacing w:line="580" w:lineRule="exact"/>
        <w:ind w:firstLine="1500" w:firstLineChars="500"/>
        <w:rPr>
          <w:rFonts w:ascii="仿宋_GB2312" w:hAnsi="仿宋" w:eastAsia="仿宋_GB2312" w:cs="仿宋"/>
          <w:color w:val="auto"/>
          <w:kern w:val="0"/>
          <w:sz w:val="30"/>
          <w:szCs w:val="30"/>
        </w:rPr>
      </w:pPr>
      <w:r>
        <w:rPr>
          <w:rFonts w:hint="eastAsia" w:ascii="仿宋_GB2312" w:hAnsi="仿宋" w:eastAsia="仿宋_GB2312" w:cs="仿宋"/>
          <w:color w:val="auto"/>
          <w:kern w:val="0"/>
          <w:sz w:val="30"/>
          <w:szCs w:val="30"/>
        </w:rPr>
        <w:t>中国物业管理协会设施设备技术专业委员会 副主任</w:t>
      </w:r>
    </w:p>
    <w:p w14:paraId="0AD63232">
      <w:pPr>
        <w:spacing w:line="580" w:lineRule="exact"/>
        <w:ind w:firstLine="602" w:firstLineChars="200"/>
        <w:rPr>
          <w:rFonts w:ascii="仿宋_GB2312" w:hAnsi="仿宋" w:eastAsia="仿宋_GB2312" w:cs="仿宋"/>
          <w:color w:val="auto"/>
          <w:kern w:val="0"/>
          <w:sz w:val="30"/>
          <w:szCs w:val="30"/>
        </w:rPr>
      </w:pPr>
      <w:r>
        <w:rPr>
          <w:rFonts w:hint="eastAsia" w:ascii="仿宋_GB2312" w:hAnsi="仿宋" w:eastAsia="仿宋_GB2312" w:cs="仿宋"/>
          <w:b/>
          <w:bCs/>
          <w:color w:val="auto"/>
          <w:kern w:val="0"/>
          <w:sz w:val="30"/>
          <w:szCs w:val="30"/>
        </w:rPr>
        <w:t>职称：</w:t>
      </w:r>
      <w:r>
        <w:rPr>
          <w:rFonts w:hint="eastAsia" w:ascii="仿宋_GB2312" w:hAnsi="仿宋" w:eastAsia="仿宋_GB2312" w:cs="仿宋"/>
          <w:color w:val="auto"/>
          <w:kern w:val="0"/>
          <w:sz w:val="30"/>
          <w:szCs w:val="30"/>
        </w:rPr>
        <w:t>高级工程师/国家注册一级建造师（机电）</w:t>
      </w:r>
    </w:p>
    <w:p w14:paraId="2B7CFD97">
      <w:pPr>
        <w:spacing w:line="580" w:lineRule="exact"/>
        <w:ind w:firstLine="602" w:firstLineChars="200"/>
        <w:rPr>
          <w:rFonts w:ascii="仿宋_GB2312" w:hAnsi="仿宋" w:eastAsia="仿宋_GB2312" w:cs="仿宋"/>
          <w:color w:val="auto"/>
          <w:kern w:val="0"/>
          <w:sz w:val="30"/>
          <w:szCs w:val="30"/>
        </w:rPr>
      </w:pPr>
      <w:r>
        <w:rPr>
          <w:rFonts w:hint="eastAsia" w:ascii="仿宋_GB2312" w:hAnsi="仿宋" w:eastAsia="仿宋_GB2312" w:cs="仿宋"/>
          <w:b/>
          <w:bCs/>
          <w:color w:val="auto"/>
          <w:kern w:val="0"/>
          <w:sz w:val="30"/>
          <w:szCs w:val="30"/>
        </w:rPr>
        <w:t>简介：</w:t>
      </w:r>
      <w:r>
        <w:rPr>
          <w:rFonts w:hint="eastAsia" w:ascii="仿宋_GB2312" w:hAnsi="仿宋" w:eastAsia="仿宋_GB2312" w:cs="仿宋"/>
          <w:color w:val="auto"/>
          <w:kern w:val="0"/>
          <w:sz w:val="30"/>
          <w:szCs w:val="30"/>
        </w:rPr>
        <w:t>2016年担任上海锐翔上房物业管理有限公司总工程师一职、同时担任上房方征投资管理有限公司工程技术总监，全面负责集团下属各投资公司工程技术管理的全面工作。</w:t>
      </w:r>
    </w:p>
    <w:p w14:paraId="15804108">
      <w:pPr>
        <w:spacing w:line="580" w:lineRule="exact"/>
        <w:ind w:firstLine="600" w:firstLineChars="200"/>
        <w:rPr>
          <w:rFonts w:ascii="仿宋_GB2312" w:hAnsi="仿宋" w:eastAsia="仿宋_GB2312" w:cs="仿宋"/>
          <w:color w:val="auto"/>
          <w:kern w:val="0"/>
          <w:sz w:val="30"/>
          <w:szCs w:val="30"/>
        </w:rPr>
      </w:pPr>
      <w:r>
        <w:rPr>
          <w:rFonts w:hint="eastAsia" w:ascii="仿宋_GB2312" w:hAnsi="仿宋" w:eastAsia="仿宋_GB2312" w:cs="仿宋"/>
          <w:color w:val="auto"/>
          <w:kern w:val="0"/>
          <w:sz w:val="30"/>
          <w:szCs w:val="30"/>
        </w:rPr>
        <w:t>杨伟栋老师在担任中国物业管理协会设施设备技术专业委员会委员和副主任期间，参与并担任了全国行业职业技术技能大赛第一、二、三届（电工）组赛务工作，同时担任第二、三届命题组长 裁判长职务。2019年和2020年负责并完成两本《指南》强电系统首次修订的组内统稿审核工作。自2019年至今，</w:t>
      </w:r>
      <w:r>
        <w:rPr>
          <w:rFonts w:hint="eastAsia" w:ascii="仿宋_GB2312" w:hAnsi="仿宋_GB2312" w:eastAsia="仿宋_GB2312" w:cs="仿宋_GB2312"/>
          <w:color w:val="auto"/>
          <w:kern w:val="0"/>
          <w:sz w:val="30"/>
          <w:szCs w:val="30"/>
        </w:rPr>
        <w:t>担任中国物业管理协会《物业承接查验与设施设备管理专业技术岗位》培训班“</w:t>
      </w:r>
      <w:r>
        <w:rPr>
          <w:rFonts w:hint="eastAsia" w:ascii="仿宋_GB2312" w:hAnsi="仿宋" w:eastAsia="仿宋_GB2312" w:cs="仿宋"/>
          <w:color w:val="auto"/>
          <w:kern w:val="0"/>
          <w:sz w:val="30"/>
          <w:szCs w:val="30"/>
        </w:rPr>
        <w:t>强电系统</w:t>
      </w:r>
      <w:r>
        <w:rPr>
          <w:rFonts w:hint="eastAsia" w:ascii="仿宋_GB2312" w:hAnsi="仿宋_GB2312" w:eastAsia="仿宋_GB2312" w:cs="仿宋_GB2312"/>
          <w:color w:val="auto"/>
          <w:kern w:val="0"/>
          <w:sz w:val="30"/>
          <w:szCs w:val="30"/>
        </w:rPr>
        <w:t>”与“</w:t>
      </w:r>
      <w:r>
        <w:rPr>
          <w:rFonts w:hint="eastAsia" w:ascii="仿宋_GB2312" w:hAnsi="仿宋" w:eastAsia="仿宋_GB2312" w:cs="仿宋"/>
          <w:color w:val="auto"/>
          <w:kern w:val="0"/>
          <w:sz w:val="30"/>
          <w:szCs w:val="30"/>
        </w:rPr>
        <w:t>弱电系统</w:t>
      </w:r>
      <w:r>
        <w:rPr>
          <w:rFonts w:hint="eastAsia" w:ascii="仿宋_GB2312" w:hAnsi="仿宋_GB2312" w:eastAsia="仿宋_GB2312" w:cs="仿宋_GB2312"/>
          <w:color w:val="auto"/>
          <w:kern w:val="0"/>
          <w:sz w:val="30"/>
          <w:szCs w:val="30"/>
        </w:rPr>
        <w:t>”两门专业的授课专家。</w:t>
      </w:r>
      <w:r>
        <w:rPr>
          <w:rFonts w:hint="eastAsia" w:ascii="仿宋_GB2312" w:hAnsi="仿宋" w:eastAsia="仿宋_GB2312" w:cs="仿宋"/>
          <w:color w:val="auto"/>
          <w:kern w:val="0"/>
          <w:sz w:val="30"/>
          <w:szCs w:val="30"/>
        </w:rPr>
        <w:t>此外，杨伟栋老师在上海市物业管理行业协会担任设施设备专业委员会主任，并兼任工程专业大组组长一职；受聘上海市物协与市估价师协会联合举办的（物业价格评估师）讲师，主讲物业设施设备与工程能耗测算。</w:t>
      </w:r>
    </w:p>
    <w:p w14:paraId="56B179A9">
      <w:pPr>
        <w:spacing w:line="580" w:lineRule="exact"/>
        <w:ind w:firstLine="301" w:firstLineChars="100"/>
        <w:rPr>
          <w:rFonts w:ascii="仿宋_GB2312" w:hAnsi="仿宋" w:eastAsia="仿宋_GB2312" w:cs="仿宋"/>
          <w:b/>
          <w:bCs/>
          <w:color w:val="auto"/>
          <w:kern w:val="0"/>
          <w:sz w:val="30"/>
          <w:szCs w:val="30"/>
        </w:rPr>
        <w:sectPr>
          <w:pgSz w:w="11906" w:h="16838"/>
          <w:pgMar w:top="1440" w:right="1803" w:bottom="1440" w:left="1803" w:header="851" w:footer="992" w:gutter="0"/>
          <w:cols w:space="720" w:num="1"/>
          <w:docGrid w:type="lines" w:linePitch="319" w:charSpace="0"/>
        </w:sectPr>
      </w:pPr>
    </w:p>
    <w:p w14:paraId="1E19F17F">
      <w:pPr>
        <w:spacing w:line="540" w:lineRule="exact"/>
        <w:ind w:firstLine="301" w:firstLineChars="100"/>
        <w:rPr>
          <w:rFonts w:ascii="仿宋_GB2312" w:hAnsi="仿宋" w:eastAsia="仿宋_GB2312" w:cs="仿宋"/>
          <w:b/>
          <w:bCs/>
          <w:color w:val="auto"/>
          <w:kern w:val="0"/>
          <w:sz w:val="30"/>
          <w:szCs w:val="30"/>
        </w:rPr>
      </w:pPr>
      <w:r>
        <w:rPr>
          <w:rFonts w:hint="eastAsia" w:ascii="仿宋_GB2312" w:hAnsi="仿宋" w:eastAsia="仿宋_GB2312" w:cs="仿宋"/>
          <w:b/>
          <w:bCs/>
          <w:color w:val="auto"/>
          <w:kern w:val="0"/>
          <w:sz w:val="30"/>
          <w:szCs w:val="30"/>
        </w:rPr>
        <w:t>4.左壮  老师</w:t>
      </w:r>
    </w:p>
    <w:p w14:paraId="548B8075">
      <w:pPr>
        <w:keepNext w:val="0"/>
        <w:keepLines w:val="0"/>
        <w:pageBreakBefore w:val="0"/>
        <w:kinsoku/>
        <w:wordWrap/>
        <w:overflowPunct/>
        <w:topLinePunct w:val="0"/>
        <w:autoSpaceDE/>
        <w:autoSpaceDN/>
        <w:bidi w:val="0"/>
        <w:adjustRightInd/>
        <w:snapToGrid/>
        <w:spacing w:line="500" w:lineRule="exact"/>
        <w:ind w:firstLine="602" w:firstLineChars="200"/>
        <w:textAlignment w:val="auto"/>
        <w:rPr>
          <w:rFonts w:ascii="仿宋_GB2312" w:hAnsi="仿宋" w:eastAsia="仿宋_GB2312" w:cs="仿宋"/>
          <w:color w:val="auto"/>
          <w:kern w:val="0"/>
          <w:sz w:val="30"/>
          <w:szCs w:val="30"/>
        </w:rPr>
      </w:pPr>
      <w:r>
        <w:rPr>
          <w:rFonts w:hint="eastAsia" w:ascii="仿宋_GB2312" w:hAnsi="仿宋" w:eastAsia="仿宋_GB2312" w:cs="仿宋"/>
          <w:b/>
          <w:bCs/>
          <w:color w:val="auto"/>
          <w:kern w:val="0"/>
          <w:sz w:val="30"/>
          <w:szCs w:val="30"/>
        </w:rPr>
        <w:t>主讲：</w:t>
      </w:r>
      <w:r>
        <w:rPr>
          <w:rFonts w:hint="eastAsia" w:ascii="仿宋_GB2312" w:hAnsi="仿宋_GB2312" w:eastAsia="仿宋_GB2312" w:cs="仿宋_GB2312"/>
          <w:color w:val="auto"/>
          <w:kern w:val="0"/>
          <w:sz w:val="30"/>
          <w:szCs w:val="30"/>
        </w:rPr>
        <w:t>电梯系统承接查验管理</w:t>
      </w:r>
    </w:p>
    <w:p w14:paraId="200E4BC0">
      <w:pPr>
        <w:keepNext w:val="0"/>
        <w:keepLines w:val="0"/>
        <w:pageBreakBefore w:val="0"/>
        <w:kinsoku/>
        <w:wordWrap/>
        <w:overflowPunct/>
        <w:topLinePunct w:val="0"/>
        <w:autoSpaceDE/>
        <w:autoSpaceDN/>
        <w:bidi w:val="0"/>
        <w:adjustRightInd/>
        <w:snapToGrid/>
        <w:spacing w:line="500" w:lineRule="exact"/>
        <w:ind w:firstLine="602" w:firstLineChars="200"/>
        <w:textAlignment w:val="auto"/>
        <w:rPr>
          <w:rFonts w:hint="eastAsia" w:ascii="仿宋_GB2312" w:hAnsi="仿宋_GB2312" w:eastAsia="仿宋_GB2312" w:cs="仿宋_GB2312"/>
          <w:b/>
          <w:bCs/>
          <w:color w:val="auto"/>
          <w:kern w:val="0"/>
          <w:sz w:val="30"/>
          <w:szCs w:val="30"/>
        </w:rPr>
      </w:pPr>
      <w:r>
        <w:rPr>
          <w:rFonts w:hint="eastAsia" w:ascii="仿宋_GB2312" w:hAnsi="仿宋" w:eastAsia="仿宋_GB2312" w:cs="仿宋"/>
          <w:b/>
          <w:bCs/>
          <w:color w:val="auto"/>
          <w:kern w:val="0"/>
          <w:sz w:val="30"/>
          <w:szCs w:val="30"/>
        </w:rPr>
        <w:t>职务</w:t>
      </w:r>
      <w:r>
        <w:rPr>
          <w:rFonts w:hint="eastAsia" w:ascii="仿宋_GB2312" w:hAnsi="仿宋_GB2312" w:eastAsia="仿宋_GB2312" w:cs="仿宋_GB2312"/>
          <w:b/>
          <w:bCs/>
          <w:color w:val="auto"/>
          <w:kern w:val="0"/>
          <w:sz w:val="30"/>
          <w:szCs w:val="30"/>
        </w:rPr>
        <w:t>：</w:t>
      </w:r>
      <w:r>
        <w:rPr>
          <w:rFonts w:hint="eastAsia" w:ascii="仿宋_GB2312" w:hAnsi="仿宋_GB2312" w:eastAsia="仿宋_GB2312" w:cs="仿宋_GB2312"/>
          <w:color w:val="auto"/>
          <w:kern w:val="0"/>
          <w:sz w:val="30"/>
          <w:szCs w:val="30"/>
        </w:rPr>
        <w:t>全国物业服务标准化技术委员会 委员</w:t>
      </w:r>
    </w:p>
    <w:p w14:paraId="24D046D9">
      <w:pPr>
        <w:keepNext w:val="0"/>
        <w:keepLines w:val="0"/>
        <w:pageBreakBefore w:val="0"/>
        <w:kinsoku/>
        <w:wordWrap/>
        <w:overflowPunct/>
        <w:topLinePunct w:val="0"/>
        <w:autoSpaceDE/>
        <w:autoSpaceDN/>
        <w:bidi w:val="0"/>
        <w:adjustRightInd/>
        <w:snapToGrid/>
        <w:spacing w:line="500" w:lineRule="exact"/>
        <w:ind w:firstLine="1500" w:firstLineChars="500"/>
        <w:textAlignment w:val="auto"/>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深圳市深业物业运营集团股份有限公司 高级专家</w:t>
      </w:r>
    </w:p>
    <w:p w14:paraId="130DF907">
      <w:pPr>
        <w:keepNext w:val="0"/>
        <w:keepLines w:val="0"/>
        <w:pageBreakBefore w:val="0"/>
        <w:kinsoku/>
        <w:wordWrap/>
        <w:overflowPunct/>
        <w:topLinePunct w:val="0"/>
        <w:autoSpaceDE/>
        <w:autoSpaceDN/>
        <w:bidi w:val="0"/>
        <w:adjustRightInd/>
        <w:snapToGrid/>
        <w:spacing w:line="500" w:lineRule="exact"/>
        <w:ind w:firstLine="1500" w:firstLineChars="500"/>
        <w:textAlignment w:val="auto"/>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中国物业</w:t>
      </w:r>
      <w:r>
        <w:rPr>
          <w:rFonts w:hint="eastAsia" w:ascii="仿宋_GB2312" w:hAnsi="仿宋" w:eastAsia="仿宋_GB2312" w:cs="仿宋"/>
          <w:color w:val="auto"/>
          <w:kern w:val="0"/>
          <w:sz w:val="30"/>
          <w:szCs w:val="30"/>
        </w:rPr>
        <w:t>管理</w:t>
      </w:r>
      <w:r>
        <w:rPr>
          <w:rFonts w:hint="eastAsia" w:ascii="仿宋_GB2312" w:hAnsi="仿宋_GB2312" w:eastAsia="仿宋_GB2312" w:cs="仿宋_GB2312"/>
          <w:color w:val="auto"/>
          <w:kern w:val="0"/>
          <w:sz w:val="30"/>
          <w:szCs w:val="30"/>
        </w:rPr>
        <w:t>协会设施设备技术专业委员会 委员</w:t>
      </w:r>
    </w:p>
    <w:p w14:paraId="2C1AE0F2">
      <w:pPr>
        <w:keepNext w:val="0"/>
        <w:keepLines w:val="0"/>
        <w:pageBreakBefore w:val="0"/>
        <w:kinsoku/>
        <w:wordWrap/>
        <w:overflowPunct/>
        <w:topLinePunct w:val="0"/>
        <w:autoSpaceDE/>
        <w:autoSpaceDN/>
        <w:bidi w:val="0"/>
        <w:adjustRightInd/>
        <w:snapToGrid/>
        <w:spacing w:line="500" w:lineRule="exact"/>
        <w:ind w:firstLine="1500" w:firstLineChars="500"/>
        <w:textAlignment w:val="auto"/>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广东省物业管理行业协会设施设备委员会 委员</w:t>
      </w:r>
    </w:p>
    <w:p w14:paraId="786345D8">
      <w:pPr>
        <w:keepNext w:val="0"/>
        <w:keepLines w:val="0"/>
        <w:pageBreakBefore w:val="0"/>
        <w:kinsoku/>
        <w:wordWrap/>
        <w:overflowPunct/>
        <w:topLinePunct w:val="0"/>
        <w:autoSpaceDE/>
        <w:autoSpaceDN/>
        <w:bidi w:val="0"/>
        <w:adjustRightInd/>
        <w:snapToGrid/>
        <w:spacing w:line="500" w:lineRule="exact"/>
        <w:ind w:firstLine="1500" w:firstLineChars="500"/>
        <w:textAlignment w:val="auto"/>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深圳市物业管理行业协会设施设备管理绿色数智化</w:t>
      </w:r>
    </w:p>
    <w:p w14:paraId="79EAB4BC">
      <w:pPr>
        <w:keepNext w:val="0"/>
        <w:keepLines w:val="0"/>
        <w:pageBreakBefore w:val="0"/>
        <w:kinsoku/>
        <w:wordWrap/>
        <w:overflowPunct/>
        <w:topLinePunct w:val="0"/>
        <w:autoSpaceDE/>
        <w:autoSpaceDN/>
        <w:bidi w:val="0"/>
        <w:adjustRightInd/>
        <w:snapToGrid/>
        <w:spacing w:line="500" w:lineRule="exact"/>
        <w:ind w:firstLine="1500" w:firstLineChars="500"/>
        <w:textAlignment w:val="auto"/>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专业委员会</w:t>
      </w:r>
      <w:r>
        <w:rPr>
          <w:rFonts w:hint="eastAsia" w:ascii="仿宋_GB2312" w:hAnsi="仿宋_GB2312" w:eastAsia="仿宋_GB2312" w:cs="仿宋_GB2312"/>
          <w:color w:val="auto"/>
          <w:kern w:val="0"/>
          <w:sz w:val="30"/>
          <w:szCs w:val="30"/>
          <w:lang w:val="en-US" w:eastAsia="zh-CN"/>
        </w:rPr>
        <w:t xml:space="preserve"> </w:t>
      </w:r>
      <w:r>
        <w:rPr>
          <w:rFonts w:hint="eastAsia" w:ascii="仿宋_GB2312" w:hAnsi="仿宋_GB2312" w:eastAsia="仿宋_GB2312" w:cs="仿宋_GB2312"/>
          <w:color w:val="auto"/>
          <w:kern w:val="0"/>
          <w:sz w:val="30"/>
          <w:szCs w:val="30"/>
        </w:rPr>
        <w:t>秘书长</w:t>
      </w:r>
    </w:p>
    <w:p w14:paraId="615FE442">
      <w:pPr>
        <w:keepNext w:val="0"/>
        <w:keepLines w:val="0"/>
        <w:pageBreakBefore w:val="0"/>
        <w:kinsoku/>
        <w:wordWrap/>
        <w:overflowPunct/>
        <w:topLinePunct w:val="0"/>
        <w:autoSpaceDE/>
        <w:autoSpaceDN/>
        <w:bidi w:val="0"/>
        <w:adjustRightInd/>
        <w:snapToGrid/>
        <w:spacing w:line="500" w:lineRule="exact"/>
        <w:ind w:firstLine="602" w:firstLineChars="200"/>
        <w:textAlignment w:val="auto"/>
        <w:rPr>
          <w:rFonts w:ascii="仿宋_GB2312" w:hAnsi="仿宋_GB2312" w:eastAsia="仿宋_GB2312" w:cs="仿宋_GB2312"/>
          <w:color w:val="auto"/>
          <w:kern w:val="0"/>
          <w:sz w:val="30"/>
          <w:szCs w:val="30"/>
        </w:rPr>
      </w:pPr>
      <w:r>
        <w:rPr>
          <w:rFonts w:hint="eastAsia" w:ascii="仿宋_GB2312" w:hAnsi="仿宋" w:eastAsia="仿宋_GB2312" w:cs="仿宋"/>
          <w:b/>
          <w:bCs/>
          <w:color w:val="auto"/>
          <w:kern w:val="0"/>
          <w:sz w:val="30"/>
          <w:szCs w:val="30"/>
        </w:rPr>
        <w:t>职称：</w:t>
      </w:r>
      <w:r>
        <w:rPr>
          <w:rFonts w:hint="eastAsia" w:ascii="仿宋_GB2312" w:hAnsi="仿宋_GB2312" w:eastAsia="仿宋_GB2312" w:cs="仿宋_GB2312"/>
          <w:color w:val="auto"/>
          <w:kern w:val="0"/>
          <w:sz w:val="30"/>
          <w:szCs w:val="30"/>
        </w:rPr>
        <w:t>高级工程师/物业管理师</w:t>
      </w:r>
    </w:p>
    <w:p w14:paraId="32B312AD">
      <w:pPr>
        <w:keepNext w:val="0"/>
        <w:keepLines w:val="0"/>
        <w:pageBreakBefore w:val="0"/>
        <w:kinsoku/>
        <w:wordWrap/>
        <w:overflowPunct/>
        <w:topLinePunct w:val="0"/>
        <w:autoSpaceDE/>
        <w:autoSpaceDN/>
        <w:bidi w:val="0"/>
        <w:adjustRightInd/>
        <w:snapToGrid/>
        <w:spacing w:line="500" w:lineRule="exact"/>
        <w:ind w:firstLine="602" w:firstLineChars="200"/>
        <w:textAlignment w:val="auto"/>
        <w:rPr>
          <w:rFonts w:ascii="仿宋_GB2312" w:hAnsi="仿宋_GB2312" w:eastAsia="仿宋_GB2312" w:cs="仿宋_GB2312"/>
          <w:color w:val="auto"/>
          <w:kern w:val="0"/>
          <w:sz w:val="30"/>
          <w:szCs w:val="30"/>
        </w:rPr>
      </w:pPr>
      <w:r>
        <w:rPr>
          <w:rFonts w:hint="eastAsia" w:ascii="仿宋_GB2312" w:hAnsi="仿宋" w:eastAsia="仿宋_GB2312" w:cs="仿宋"/>
          <w:b/>
          <w:bCs/>
          <w:color w:val="auto"/>
          <w:kern w:val="0"/>
          <w:sz w:val="30"/>
          <w:szCs w:val="30"/>
        </w:rPr>
        <w:t>简介</w:t>
      </w:r>
      <w:r>
        <w:rPr>
          <w:rFonts w:hint="eastAsia" w:ascii="仿宋_GB2312" w:hAnsi="仿宋_GB2312" w:eastAsia="仿宋_GB2312" w:cs="仿宋_GB2312"/>
          <w:b/>
          <w:bCs/>
          <w:color w:val="auto"/>
          <w:kern w:val="0"/>
          <w:sz w:val="30"/>
          <w:szCs w:val="30"/>
        </w:rPr>
        <w:t>：</w:t>
      </w:r>
      <w:r>
        <w:rPr>
          <w:rFonts w:hint="eastAsia" w:ascii="仿宋_GB2312" w:hAnsi="仿宋_GB2312" w:eastAsia="仿宋_GB2312" w:cs="仿宋_GB2312"/>
          <w:color w:val="auto"/>
          <w:kern w:val="0"/>
          <w:sz w:val="30"/>
          <w:szCs w:val="30"/>
        </w:rPr>
        <w:t>1996年从事物业管理工作至今，历任设备工程师、项目经理、部门经理、副总经理。长期从事物业企业前期介入、承接查验、标准化建设、设施设备管理、低碳运维等工作。</w:t>
      </w:r>
    </w:p>
    <w:p w14:paraId="00C517C0">
      <w:pPr>
        <w:keepNext w:val="0"/>
        <w:keepLines w:val="0"/>
        <w:pageBreakBefore w:val="0"/>
        <w:widowControl/>
        <w:kinsoku/>
        <w:wordWrap/>
        <w:overflowPunct/>
        <w:topLinePunct w:val="0"/>
        <w:autoSpaceDE/>
        <w:autoSpaceDN/>
        <w:bidi w:val="0"/>
        <w:adjustRightInd/>
        <w:snapToGrid/>
        <w:spacing w:line="500" w:lineRule="exact"/>
        <w:ind w:firstLine="600" w:firstLineChars="200"/>
        <w:textAlignment w:val="auto"/>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左壮老师在担任中国物业管理协会设施设备技术专业委员会委员期间，多次参与行业标准及地方标准的起草和审查工作，其中包括：</w:t>
      </w:r>
      <w:r>
        <w:rPr>
          <w:rFonts w:ascii="仿宋_GB2312" w:hAnsi="仿宋_GB2312" w:eastAsia="仿宋_GB2312" w:cs="仿宋_GB2312"/>
          <w:color w:val="auto"/>
          <w:kern w:val="0"/>
          <w:sz w:val="30"/>
          <w:szCs w:val="30"/>
        </w:rPr>
        <w:t>中国物业管理协会团体标准《设施设备绿色运行管理服务规范》T/CPMI 011—2020</w:t>
      </w:r>
      <w:r>
        <w:rPr>
          <w:rFonts w:hint="eastAsia" w:ascii="仿宋_GB2312" w:hAnsi="仿宋_GB2312" w:eastAsia="仿宋_GB2312" w:cs="仿宋_GB2312"/>
          <w:color w:val="auto"/>
          <w:kern w:val="0"/>
          <w:sz w:val="30"/>
          <w:szCs w:val="30"/>
        </w:rPr>
        <w:t>、</w:t>
      </w:r>
      <w:r>
        <w:rPr>
          <w:rFonts w:ascii="仿宋_GB2312" w:hAnsi="仿宋_GB2312" w:eastAsia="仿宋_GB2312" w:cs="仿宋_GB2312"/>
          <w:color w:val="auto"/>
          <w:kern w:val="0"/>
          <w:sz w:val="30"/>
          <w:szCs w:val="30"/>
        </w:rPr>
        <w:t>广东省地方标准《宜居社区建设评价标准》DBJ/T 15-200-2020</w:t>
      </w:r>
      <w:r>
        <w:rPr>
          <w:rFonts w:hint="eastAsia" w:ascii="仿宋_GB2312" w:hAnsi="仿宋_GB2312" w:eastAsia="仿宋_GB2312" w:cs="仿宋_GB2312"/>
          <w:color w:val="auto"/>
          <w:kern w:val="0"/>
          <w:sz w:val="30"/>
          <w:szCs w:val="30"/>
        </w:rPr>
        <w:t>和深圳市地方标准《新建物业项目承接查验规范》DB4403/T 188—2021、深圳市工程建设地方标准《绿色物业管理项目评价标准》SJG 50—2022等。此外，左壮老师参加了中国物业管理协会《物业设施设备管理指南》及《物业承接查验操作指南》的首次修订工作、中国物业管理协会《超高层建筑设施设备管理指南》的编写工作，并出版了专著《物业设施设备》（中国工信出版社、电子工业出版社），该书已列入高等院校物业管理教材。</w:t>
      </w:r>
    </w:p>
    <w:p w14:paraId="6FF7A10E">
      <w:pPr>
        <w:keepNext w:val="0"/>
        <w:keepLines w:val="0"/>
        <w:pageBreakBefore w:val="0"/>
        <w:widowControl/>
        <w:kinsoku/>
        <w:wordWrap/>
        <w:overflowPunct/>
        <w:topLinePunct w:val="0"/>
        <w:autoSpaceDE/>
        <w:autoSpaceDN/>
        <w:bidi w:val="0"/>
        <w:adjustRightInd/>
        <w:snapToGrid/>
        <w:spacing w:line="500" w:lineRule="exact"/>
        <w:ind w:firstLine="600" w:firstLineChars="200"/>
        <w:textAlignment w:val="auto"/>
        <w:rPr>
          <w:rFonts w:ascii="仿宋_GB2312" w:hAnsi="仿宋_GB2312" w:eastAsia="仿宋_GB2312" w:cs="仿宋_GB2312"/>
          <w:color w:val="auto"/>
          <w:kern w:val="0"/>
          <w:sz w:val="30"/>
          <w:szCs w:val="30"/>
        </w:rPr>
      </w:pPr>
      <w:r>
        <w:rPr>
          <w:rFonts w:hint="eastAsia" w:ascii="仿宋_GB2312" w:hAnsi="仿宋" w:eastAsia="仿宋_GB2312" w:cs="仿宋"/>
          <w:color w:val="auto"/>
          <w:kern w:val="0"/>
          <w:sz w:val="30"/>
          <w:szCs w:val="30"/>
        </w:rPr>
        <w:t>自2020年至今，</w:t>
      </w:r>
      <w:r>
        <w:rPr>
          <w:rFonts w:hint="eastAsia" w:ascii="仿宋_GB2312" w:hAnsi="仿宋_GB2312" w:eastAsia="仿宋_GB2312" w:cs="仿宋_GB2312"/>
          <w:color w:val="auto"/>
          <w:kern w:val="0"/>
          <w:sz w:val="30"/>
          <w:szCs w:val="30"/>
        </w:rPr>
        <w:t>担任中国物业管理协会《物业承接查验与设施设备管理专业技术岗位》培训班“电梯系统承接查验管理”专业的授课专家。</w:t>
      </w:r>
    </w:p>
    <w:p w14:paraId="0A325850">
      <w:pPr>
        <w:pStyle w:val="2"/>
        <w:numPr>
          <w:ilvl w:val="0"/>
          <w:numId w:val="0"/>
        </w:numPr>
        <w:ind w:left="420"/>
        <w:rPr>
          <w:color w:val="auto"/>
        </w:rPr>
      </w:pPr>
    </w:p>
    <w:p w14:paraId="1142CFAE">
      <w:pPr>
        <w:widowControl/>
        <w:rPr>
          <w:rFonts w:ascii="仿宋_GB2312" w:hAnsi="仿宋_GB2312" w:eastAsia="仿宋_GB2312" w:cs="仿宋_GB2312"/>
          <w:color w:val="auto"/>
          <w:kern w:val="0"/>
          <w:sz w:val="30"/>
          <w:szCs w:val="30"/>
        </w:rPr>
        <w:sectPr>
          <w:pgSz w:w="11906" w:h="16838"/>
          <w:pgMar w:top="1440" w:right="1803" w:bottom="1440" w:left="1803" w:header="851" w:footer="992" w:gutter="0"/>
          <w:cols w:space="720" w:num="1"/>
          <w:docGrid w:type="lines" w:linePitch="319" w:charSpace="0"/>
        </w:sectPr>
      </w:pPr>
    </w:p>
    <w:p w14:paraId="44474E75">
      <w:pPr>
        <w:widowControl/>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附件2</w:t>
      </w:r>
    </w:p>
    <w:p w14:paraId="75C1D8D8">
      <w:pPr>
        <w:widowControl/>
        <w:spacing w:line="560" w:lineRule="exact"/>
        <w:jc w:val="center"/>
        <w:rPr>
          <w:rFonts w:ascii="仿宋_GB2312" w:hAnsi="仿宋" w:eastAsia="仿宋_GB2312" w:cs="仿宋"/>
          <w:b/>
          <w:bCs/>
          <w:color w:val="auto"/>
          <w:kern w:val="0"/>
          <w:sz w:val="30"/>
          <w:szCs w:val="30"/>
        </w:rPr>
      </w:pPr>
      <w:r>
        <w:rPr>
          <w:rFonts w:hint="eastAsia" w:ascii="仿宋_GB2312" w:hAnsi="仿宋" w:eastAsia="仿宋_GB2312" w:cs="仿宋"/>
          <w:b/>
          <w:bCs/>
          <w:color w:val="auto"/>
          <w:kern w:val="0"/>
          <w:sz w:val="30"/>
          <w:szCs w:val="30"/>
        </w:rPr>
        <w:t>食宿安排说明</w:t>
      </w:r>
    </w:p>
    <w:p w14:paraId="617A475E">
      <w:pPr>
        <w:widowControl/>
        <w:spacing w:line="560" w:lineRule="exact"/>
        <w:ind w:firstLine="600" w:firstLineChars="200"/>
        <w:jc w:val="left"/>
        <w:rPr>
          <w:rFonts w:ascii="仿宋_GB2312" w:hAnsi="仿宋" w:eastAsia="仿宋_GB2312" w:cs="仿宋"/>
          <w:color w:val="auto"/>
          <w:kern w:val="0"/>
          <w:sz w:val="30"/>
          <w:szCs w:val="30"/>
        </w:rPr>
      </w:pPr>
    </w:p>
    <w:p w14:paraId="34E46F88">
      <w:pPr>
        <w:widowControl/>
        <w:spacing w:line="560" w:lineRule="exact"/>
        <w:ind w:firstLine="600" w:firstLineChars="200"/>
        <w:jc w:val="left"/>
        <w:rPr>
          <w:rFonts w:ascii="仿宋_GB2312" w:hAnsi="仿宋" w:eastAsia="仿宋_GB2312" w:cs="仿宋"/>
          <w:b/>
          <w:bCs/>
          <w:color w:val="auto"/>
          <w:kern w:val="0"/>
          <w:sz w:val="30"/>
          <w:szCs w:val="30"/>
        </w:rPr>
      </w:pPr>
      <w:r>
        <w:rPr>
          <w:rFonts w:hint="eastAsia" w:ascii="仿宋_GB2312" w:hAnsi="仿宋" w:eastAsia="仿宋_GB2312" w:cs="仿宋"/>
          <w:color w:val="auto"/>
          <w:kern w:val="0"/>
          <w:sz w:val="30"/>
          <w:szCs w:val="30"/>
        </w:rPr>
        <w:t>学员可自行安排培训期间的住宿与用餐。如选择在培训地点【</w:t>
      </w:r>
      <w:r>
        <w:rPr>
          <w:rFonts w:hint="eastAsia" w:ascii="仿宋_GB2312" w:hAnsi="仿宋" w:eastAsia="仿宋_GB2312" w:cs="仿宋"/>
          <w:color w:val="auto"/>
          <w:kern w:val="0"/>
          <w:sz w:val="30"/>
          <w:szCs w:val="30"/>
          <w:lang w:eastAsia="zh-CN"/>
        </w:rPr>
        <w:t>乌鲁木齐市会展中心亚朵</w:t>
      </w:r>
      <w:r>
        <w:rPr>
          <w:rFonts w:hint="eastAsia" w:ascii="仿宋_GB2312" w:hAnsi="仿宋" w:eastAsia="仿宋_GB2312" w:cs="仿宋"/>
          <w:color w:val="auto"/>
          <w:kern w:val="0"/>
          <w:sz w:val="30"/>
          <w:szCs w:val="30"/>
        </w:rPr>
        <w:t>酒店】住宿就餐的学员，可参考信息如下：</w:t>
      </w:r>
    </w:p>
    <w:p w14:paraId="700F7B44">
      <w:pPr>
        <w:pStyle w:val="4"/>
        <w:spacing w:line="560" w:lineRule="exact"/>
        <w:ind w:firstLine="600" w:firstLineChars="200"/>
        <w:rPr>
          <w:rFonts w:ascii="仿宋_GB2312" w:hAnsi="仿宋" w:eastAsia="仿宋_GB2312" w:cs="仿宋"/>
          <w:color w:val="auto"/>
          <w:sz w:val="30"/>
          <w:szCs w:val="30"/>
        </w:rPr>
      </w:pPr>
      <w:r>
        <w:rPr>
          <w:rFonts w:hint="eastAsia" w:ascii="仿宋_GB2312" w:hAnsi="仿宋" w:eastAsia="仿宋_GB2312" w:cs="仿宋"/>
          <w:color w:val="auto"/>
          <w:kern w:val="0"/>
          <w:sz w:val="30"/>
          <w:szCs w:val="30"/>
        </w:rPr>
        <w:t>1.住宿：选择在酒店入住的学员，务请在报名系统中勾选入住的起、止日期，在</w:t>
      </w:r>
      <w:r>
        <w:rPr>
          <w:rFonts w:hint="eastAsia" w:ascii="仿宋_GB2312" w:hAnsi="仿宋" w:eastAsia="仿宋_GB2312" w:cs="仿宋"/>
          <w:color w:val="auto"/>
          <w:kern w:val="0"/>
          <w:sz w:val="30"/>
          <w:szCs w:val="30"/>
          <w:lang w:val="en-US" w:eastAsia="zh-CN"/>
        </w:rPr>
        <w:t>9</w:t>
      </w:r>
      <w:r>
        <w:rPr>
          <w:rFonts w:hint="eastAsia" w:ascii="仿宋_GB2312" w:hAnsi="仿宋" w:eastAsia="仿宋_GB2312" w:cs="仿宋"/>
          <w:color w:val="auto"/>
          <w:kern w:val="0"/>
          <w:sz w:val="30"/>
          <w:szCs w:val="30"/>
        </w:rPr>
        <w:t>月</w:t>
      </w:r>
      <w:r>
        <w:rPr>
          <w:rFonts w:hint="eastAsia" w:ascii="仿宋_GB2312" w:hAnsi="仿宋" w:eastAsia="仿宋_GB2312" w:cs="仿宋"/>
          <w:color w:val="auto"/>
          <w:kern w:val="0"/>
          <w:sz w:val="30"/>
          <w:szCs w:val="30"/>
          <w:lang w:val="en-US" w:eastAsia="zh-CN"/>
        </w:rPr>
        <w:t>20</w:t>
      </w:r>
      <w:r>
        <w:rPr>
          <w:rFonts w:hint="eastAsia" w:ascii="仿宋_GB2312" w:hAnsi="仿宋" w:eastAsia="仿宋_GB2312" w:cs="仿宋"/>
          <w:color w:val="auto"/>
          <w:kern w:val="0"/>
          <w:sz w:val="30"/>
          <w:szCs w:val="30"/>
        </w:rPr>
        <w:t>日</w:t>
      </w:r>
      <w:r>
        <w:rPr>
          <w:rFonts w:hint="eastAsia" w:ascii="仿宋_GB2312" w:hAnsi="仿宋" w:eastAsia="仿宋_GB2312" w:cs="仿宋"/>
          <w:color w:val="auto"/>
          <w:kern w:val="0"/>
          <w:sz w:val="30"/>
          <w:szCs w:val="30"/>
          <w:lang w:val="en-US" w:eastAsia="zh-CN"/>
        </w:rPr>
        <w:t>20</w:t>
      </w:r>
      <w:r>
        <w:rPr>
          <w:rFonts w:hint="eastAsia" w:ascii="仿宋_GB2312" w:hAnsi="仿宋" w:eastAsia="仿宋_GB2312" w:cs="仿宋"/>
          <w:color w:val="auto"/>
          <w:kern w:val="0"/>
          <w:sz w:val="30"/>
          <w:szCs w:val="30"/>
        </w:rPr>
        <w:t>:00报名截止前，可享</w:t>
      </w:r>
      <w:r>
        <w:rPr>
          <w:rFonts w:hint="eastAsia" w:ascii="仿宋_GB2312" w:hAnsi="仿宋" w:eastAsia="仿宋_GB2312" w:cs="仿宋"/>
          <w:color w:val="auto"/>
          <w:kern w:val="0"/>
          <w:sz w:val="30"/>
          <w:szCs w:val="30"/>
          <w:lang w:eastAsia="zh-CN"/>
        </w:rPr>
        <w:t>乌鲁木齐市会展中心亚朵</w:t>
      </w:r>
      <w:r>
        <w:rPr>
          <w:rFonts w:hint="eastAsia" w:ascii="仿宋_GB2312" w:hAnsi="仿宋" w:eastAsia="仿宋_GB2312" w:cs="仿宋"/>
          <w:color w:val="auto"/>
          <w:kern w:val="0"/>
          <w:sz w:val="30"/>
          <w:szCs w:val="30"/>
        </w:rPr>
        <w:t>酒店协议价【单/标准间</w:t>
      </w:r>
      <w:r>
        <w:rPr>
          <w:rFonts w:hint="eastAsia" w:ascii="仿宋_GB2312" w:hAnsi="仿宋" w:eastAsia="仿宋_GB2312" w:cs="仿宋"/>
          <w:color w:val="auto"/>
          <w:kern w:val="0"/>
          <w:sz w:val="30"/>
          <w:szCs w:val="30"/>
          <w:lang w:val="en-US" w:eastAsia="zh-CN"/>
        </w:rPr>
        <w:t>428</w:t>
      </w:r>
      <w:r>
        <w:rPr>
          <w:rFonts w:hint="eastAsia" w:ascii="仿宋_GB2312" w:hAnsi="仿宋" w:eastAsia="仿宋_GB2312" w:cs="仿宋"/>
          <w:color w:val="auto"/>
          <w:kern w:val="0"/>
          <w:sz w:val="30"/>
          <w:szCs w:val="30"/>
        </w:rPr>
        <w:t>元/间·天】，酒</w:t>
      </w:r>
      <w:r>
        <w:rPr>
          <w:rFonts w:hint="eastAsia" w:ascii="仿宋_GB2312" w:hAnsi="仿宋" w:eastAsia="仿宋_GB2312" w:cs="仿宋"/>
          <w:color w:val="auto"/>
          <w:sz w:val="30"/>
          <w:szCs w:val="30"/>
        </w:rPr>
        <w:t>店根据学员需求按照“先到先得</w:t>
      </w:r>
      <w:r>
        <w:rPr>
          <w:rFonts w:ascii="仿宋_GB2312" w:hAnsi="仿宋" w:eastAsia="仿宋_GB2312" w:cs="仿宋"/>
          <w:color w:val="auto"/>
          <w:sz w:val="30"/>
          <w:szCs w:val="30"/>
        </w:rPr>
        <w:t>”</w:t>
      </w:r>
      <w:r>
        <w:rPr>
          <w:rFonts w:hint="eastAsia" w:ascii="仿宋_GB2312" w:hAnsi="仿宋" w:eastAsia="仿宋_GB2312" w:cs="仿宋"/>
          <w:color w:val="auto"/>
          <w:sz w:val="30"/>
          <w:szCs w:val="30"/>
        </w:rPr>
        <w:t>原则安排入住，</w:t>
      </w:r>
      <w:r>
        <w:rPr>
          <w:rFonts w:hint="eastAsia" w:ascii="仿宋_GB2312" w:hAnsi="仿宋" w:eastAsia="仿宋_GB2312" w:cs="仿宋"/>
          <w:b/>
          <w:bCs/>
          <w:color w:val="auto"/>
          <w:kern w:val="0"/>
          <w:sz w:val="30"/>
          <w:szCs w:val="30"/>
        </w:rPr>
        <w:t>房间预留至报到当天1</w:t>
      </w:r>
      <w:r>
        <w:rPr>
          <w:rFonts w:hint="eastAsia" w:ascii="仿宋_GB2312" w:hAnsi="仿宋" w:eastAsia="仿宋_GB2312" w:cs="仿宋"/>
          <w:b/>
          <w:bCs/>
          <w:color w:val="auto"/>
          <w:kern w:val="0"/>
          <w:sz w:val="30"/>
          <w:szCs w:val="30"/>
          <w:lang w:val="en-US" w:eastAsia="zh-CN"/>
        </w:rPr>
        <w:t>8</w:t>
      </w:r>
      <w:r>
        <w:rPr>
          <w:rFonts w:hint="eastAsia" w:ascii="仿宋_GB2312" w:hAnsi="仿宋" w:eastAsia="仿宋_GB2312" w:cs="仿宋"/>
          <w:b/>
          <w:bCs/>
          <w:color w:val="auto"/>
          <w:kern w:val="0"/>
          <w:sz w:val="30"/>
          <w:szCs w:val="30"/>
        </w:rPr>
        <w:t>:00（超时即视为放弃）</w:t>
      </w:r>
      <w:r>
        <w:rPr>
          <w:rFonts w:hint="eastAsia" w:ascii="仿宋_GB2312" w:hAnsi="仿宋" w:eastAsia="仿宋_GB2312" w:cs="仿宋"/>
          <w:color w:val="auto"/>
          <w:kern w:val="0"/>
          <w:sz w:val="30"/>
          <w:szCs w:val="30"/>
        </w:rPr>
        <w:t>，</w:t>
      </w:r>
      <w:r>
        <w:rPr>
          <w:rFonts w:hint="eastAsia" w:ascii="仿宋_GB2312" w:hAnsi="仿宋" w:eastAsia="仿宋_GB2312" w:cs="仿宋"/>
          <w:color w:val="auto"/>
          <w:sz w:val="30"/>
          <w:szCs w:val="30"/>
        </w:rPr>
        <w:t>敬请学员理解配合；</w:t>
      </w:r>
    </w:p>
    <w:p w14:paraId="78E9A075">
      <w:pPr>
        <w:pStyle w:val="4"/>
        <w:spacing w:line="560" w:lineRule="exact"/>
        <w:ind w:firstLine="600" w:firstLineChars="200"/>
        <w:rPr>
          <w:rFonts w:ascii="仿宋_GB2312" w:hAnsi="仿宋" w:eastAsia="仿宋_GB2312" w:cs="仿宋"/>
          <w:color w:val="auto"/>
          <w:kern w:val="0"/>
          <w:sz w:val="30"/>
          <w:szCs w:val="30"/>
        </w:rPr>
      </w:pPr>
      <w:r>
        <w:rPr>
          <w:rFonts w:hint="eastAsia" w:ascii="仿宋_GB2312" w:hAnsi="仿宋" w:eastAsia="仿宋_GB2312" w:cs="仿宋"/>
          <w:color w:val="auto"/>
          <w:kern w:val="0"/>
          <w:sz w:val="30"/>
          <w:szCs w:val="30"/>
        </w:rPr>
        <w:t>请学员报到时自行到酒店前台办理入住，费用自理。</w:t>
      </w:r>
    </w:p>
    <w:p w14:paraId="62235479">
      <w:pPr>
        <w:widowControl/>
        <w:spacing w:line="560" w:lineRule="exact"/>
        <w:ind w:firstLine="600" w:firstLineChars="200"/>
        <w:jc w:val="left"/>
        <w:rPr>
          <w:rFonts w:ascii="仿宋_GB2312" w:hAnsi="仿宋" w:eastAsia="仿宋_GB2312" w:cs="仿宋"/>
          <w:color w:val="auto"/>
          <w:kern w:val="0"/>
          <w:sz w:val="30"/>
          <w:szCs w:val="30"/>
        </w:rPr>
      </w:pPr>
      <w:r>
        <w:rPr>
          <w:rFonts w:hint="eastAsia" w:ascii="仿宋_GB2312" w:hAnsi="仿宋" w:eastAsia="仿宋_GB2312" w:cs="仿宋"/>
          <w:color w:val="auto"/>
          <w:kern w:val="0"/>
          <w:sz w:val="30"/>
          <w:szCs w:val="30"/>
        </w:rPr>
        <w:t>2.用餐：学员可自行选择在酒店用餐或外出就餐，如您选择在酒店用餐，请直接与酒店联系（</w:t>
      </w:r>
      <w:r>
        <w:rPr>
          <w:rFonts w:hint="eastAsia" w:ascii="仿宋_GB2312" w:hAnsi="仿宋" w:eastAsia="仿宋_GB2312" w:cs="仿宋"/>
          <w:color w:val="auto"/>
          <w:kern w:val="0"/>
          <w:sz w:val="30"/>
          <w:szCs w:val="30"/>
          <w:lang w:val="en-US" w:eastAsia="zh-CN"/>
        </w:rPr>
        <w:t>0991-6163333</w:t>
      </w:r>
      <w:r>
        <w:rPr>
          <w:rFonts w:hint="eastAsia" w:ascii="仿宋_GB2312" w:hAnsi="仿宋" w:eastAsia="仿宋_GB2312" w:cs="仿宋"/>
          <w:color w:val="auto"/>
          <w:kern w:val="0"/>
          <w:sz w:val="30"/>
          <w:szCs w:val="30"/>
        </w:rPr>
        <w:t>），费用自理。</w:t>
      </w:r>
    </w:p>
    <w:p w14:paraId="76712E18">
      <w:pPr>
        <w:widowControl/>
        <w:spacing w:line="560" w:lineRule="exact"/>
        <w:ind w:firstLine="600" w:firstLineChars="200"/>
        <w:jc w:val="left"/>
        <w:rPr>
          <w:rFonts w:ascii="仿宋_GB2312" w:hAnsi="仿宋_GB2312" w:eastAsia="仿宋_GB2312" w:cs="仿宋_GB2312"/>
          <w:color w:val="auto"/>
          <w:kern w:val="0"/>
          <w:sz w:val="30"/>
          <w:szCs w:val="30"/>
        </w:rPr>
        <w:sectPr>
          <w:pgSz w:w="11906" w:h="16838"/>
          <w:pgMar w:top="1440" w:right="1803" w:bottom="1440" w:left="1803" w:header="851" w:footer="992" w:gutter="0"/>
          <w:cols w:space="720" w:num="1"/>
          <w:docGrid w:type="lines" w:linePitch="319" w:charSpace="0"/>
        </w:sectPr>
      </w:pPr>
      <w:r>
        <w:rPr>
          <w:rFonts w:hint="eastAsia" w:ascii="仿宋_GB2312" w:hAnsi="仿宋" w:eastAsia="仿宋_GB2312" w:cs="仿宋"/>
          <w:color w:val="auto"/>
          <w:kern w:val="0"/>
          <w:sz w:val="30"/>
          <w:szCs w:val="30"/>
        </w:rPr>
        <w:t>3.住宿与用餐发票由酒店统一开具，凡在酒店入住的学员，在酒店用餐费可与房费一同结算开票。</w:t>
      </w:r>
    </w:p>
    <w:p w14:paraId="5DF6689C">
      <w:pPr>
        <w:widowControl/>
        <w:rPr>
          <w:rFonts w:ascii="华文中宋" w:hAnsi="华文中宋" w:eastAsia="仿宋_GB2312" w:cs="宋体"/>
          <w:color w:val="auto"/>
          <w:kern w:val="0"/>
          <w:sz w:val="36"/>
          <w:szCs w:val="36"/>
        </w:rPr>
      </w:pPr>
      <w:r>
        <w:rPr>
          <w:rFonts w:hint="eastAsia" w:ascii="仿宋_GB2312" w:hAnsi="仿宋_GB2312" w:eastAsia="仿宋_GB2312" w:cs="仿宋_GB2312"/>
          <w:color w:val="auto"/>
          <w:kern w:val="0"/>
          <w:sz w:val="30"/>
          <w:szCs w:val="30"/>
        </w:rPr>
        <w:t>附件3</w:t>
      </w:r>
    </w:p>
    <w:p w14:paraId="0B13CA3E">
      <w:pPr>
        <w:widowControl/>
        <w:spacing w:beforeLines="50"/>
        <w:jc w:val="center"/>
        <w:rPr>
          <w:rFonts w:ascii="华文中宋" w:hAnsi="华文中宋" w:eastAsia="华文中宋" w:cs="宋体"/>
          <w:b/>
          <w:color w:val="auto"/>
          <w:kern w:val="0"/>
          <w:sz w:val="36"/>
          <w:szCs w:val="36"/>
        </w:rPr>
      </w:pPr>
      <w:r>
        <w:rPr>
          <w:rFonts w:hint="eastAsia" w:ascii="华文中宋" w:hAnsi="华文中宋" w:eastAsia="华文中宋" w:cs="宋体"/>
          <w:b/>
          <w:color w:val="auto"/>
          <w:kern w:val="0"/>
          <w:sz w:val="36"/>
          <w:szCs w:val="36"/>
        </w:rPr>
        <w:t>物业承接查验与设施设备专业技术岗位培训班</w:t>
      </w:r>
    </w:p>
    <w:p w14:paraId="0294669F">
      <w:pPr>
        <w:widowControl/>
        <w:spacing w:afterLines="100"/>
        <w:ind w:firstLine="721"/>
        <w:jc w:val="center"/>
        <w:rPr>
          <w:rFonts w:ascii="华文中宋" w:hAnsi="华文中宋" w:eastAsia="华文中宋" w:cs="宋体"/>
          <w:b/>
          <w:color w:val="auto"/>
          <w:kern w:val="0"/>
          <w:sz w:val="36"/>
          <w:szCs w:val="36"/>
        </w:rPr>
      </w:pPr>
      <w:r>
        <w:rPr>
          <w:rFonts w:hint="eastAsia" w:ascii="华文中宋" w:hAnsi="华文中宋" w:eastAsia="华文中宋" w:cs="宋体"/>
          <w:b/>
          <w:color w:val="auto"/>
          <w:kern w:val="0"/>
          <w:sz w:val="36"/>
          <w:szCs w:val="36"/>
        </w:rPr>
        <w:t>（</w:t>
      </w:r>
      <w:r>
        <w:rPr>
          <w:rFonts w:hint="eastAsia" w:ascii="华文中宋" w:hAnsi="华文中宋" w:eastAsia="华文中宋" w:cs="宋体"/>
          <w:b/>
          <w:color w:val="auto"/>
          <w:kern w:val="0"/>
          <w:sz w:val="36"/>
          <w:szCs w:val="36"/>
          <w:lang w:val="en-US" w:eastAsia="zh-CN"/>
        </w:rPr>
        <w:t>新疆</w:t>
      </w:r>
      <w:r>
        <w:rPr>
          <w:rFonts w:hint="eastAsia" w:ascii="华文中宋" w:hAnsi="华文中宋" w:eastAsia="华文中宋" w:cs="宋体"/>
          <w:b/>
          <w:color w:val="auto"/>
          <w:kern w:val="0"/>
          <w:sz w:val="36"/>
          <w:szCs w:val="36"/>
        </w:rPr>
        <w:t>）学员档案卡</w:t>
      </w:r>
    </w:p>
    <w:p w14:paraId="7082959F">
      <w:pPr>
        <w:ind w:firstLine="440"/>
        <w:rPr>
          <w:rFonts w:hint="default" w:eastAsia="宋体"/>
          <w:color w:val="00B050"/>
          <w:sz w:val="22"/>
          <w:lang w:val="en-US" w:eastAsia="zh-CN"/>
        </w:rPr>
      </w:pPr>
      <w:r>
        <w:rPr>
          <w:rFonts w:hint="eastAsia"/>
          <w:color w:val="auto"/>
          <w:sz w:val="22"/>
        </w:rPr>
        <w:t xml:space="preserve">填表日期：   年    月    日                 </w:t>
      </w:r>
      <w:r>
        <w:rPr>
          <w:rFonts w:hint="eastAsia" w:ascii="宋体" w:hAnsi="宋体"/>
          <w:color w:val="auto"/>
          <w:sz w:val="22"/>
        </w:rPr>
        <w:t>证书编号</w:t>
      </w:r>
      <w:r>
        <w:rPr>
          <w:rFonts w:hint="eastAsia"/>
          <w:color w:val="auto"/>
          <w:sz w:val="22"/>
        </w:rPr>
        <w:t>：</w:t>
      </w:r>
      <w:r>
        <w:rPr>
          <w:rFonts w:hint="eastAsia"/>
          <w:color w:val="00B050"/>
          <w:sz w:val="22"/>
          <w:lang w:val="en-US" w:eastAsia="zh-CN"/>
        </w:rPr>
        <w:t>由会务组工作人员填</w:t>
      </w:r>
    </w:p>
    <w:tbl>
      <w:tblPr>
        <w:tblStyle w:val="5"/>
        <w:tblpPr w:vertAnchor="page" w:horzAnchor="page" w:tblpX="1290" w:tblpY="4349"/>
        <w:tblOverlap w:val="never"/>
        <w:tblW w:w="97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0"/>
        <w:gridCol w:w="2059"/>
        <w:gridCol w:w="937"/>
        <w:gridCol w:w="863"/>
        <w:gridCol w:w="10"/>
        <w:gridCol w:w="2121"/>
        <w:gridCol w:w="1908"/>
      </w:tblGrid>
      <w:tr w14:paraId="629AC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880" w:type="dxa"/>
            <w:vAlign w:val="center"/>
          </w:tcPr>
          <w:p w14:paraId="736D684F">
            <w:pPr>
              <w:jc w:val="center"/>
              <w:rPr>
                <w:rFonts w:ascii="宋体" w:hAnsi="宋体" w:eastAsiaTheme="minorEastAsia"/>
                <w:color w:val="auto"/>
                <w:sz w:val="24"/>
                <w:szCs w:val="24"/>
              </w:rPr>
            </w:pPr>
            <w:r>
              <w:rPr>
                <w:rFonts w:hint="eastAsia" w:ascii="宋体" w:hAnsi="宋体"/>
                <w:color w:val="auto"/>
                <w:sz w:val="24"/>
                <w:szCs w:val="24"/>
              </w:rPr>
              <w:t>姓    名</w:t>
            </w:r>
          </w:p>
        </w:tc>
        <w:tc>
          <w:tcPr>
            <w:tcW w:w="2059" w:type="dxa"/>
            <w:vAlign w:val="center"/>
          </w:tcPr>
          <w:p w14:paraId="6E070914">
            <w:pPr>
              <w:spacing w:line="320" w:lineRule="exact"/>
              <w:ind w:firstLine="480"/>
              <w:jc w:val="center"/>
              <w:rPr>
                <w:rFonts w:ascii="宋体" w:hAnsi="宋体"/>
                <w:color w:val="auto"/>
                <w:sz w:val="24"/>
                <w:szCs w:val="24"/>
              </w:rPr>
            </w:pPr>
          </w:p>
        </w:tc>
        <w:tc>
          <w:tcPr>
            <w:tcW w:w="1800" w:type="dxa"/>
            <w:gridSpan w:val="2"/>
            <w:vAlign w:val="center"/>
          </w:tcPr>
          <w:p w14:paraId="504AC62C">
            <w:pPr>
              <w:spacing w:line="320" w:lineRule="exact"/>
              <w:ind w:left="-267" w:leftChars="-127" w:firstLine="290" w:firstLineChars="121"/>
              <w:jc w:val="center"/>
              <w:rPr>
                <w:rFonts w:ascii="宋体" w:hAnsi="宋体" w:eastAsiaTheme="minorEastAsia"/>
                <w:color w:val="auto"/>
                <w:sz w:val="24"/>
                <w:szCs w:val="24"/>
              </w:rPr>
            </w:pPr>
            <w:r>
              <w:rPr>
                <w:rFonts w:hint="eastAsia" w:ascii="宋体" w:hAnsi="宋体"/>
                <w:color w:val="auto"/>
                <w:sz w:val="24"/>
                <w:szCs w:val="24"/>
              </w:rPr>
              <w:t>性    别</w:t>
            </w:r>
          </w:p>
        </w:tc>
        <w:tc>
          <w:tcPr>
            <w:tcW w:w="2131" w:type="dxa"/>
            <w:gridSpan w:val="2"/>
            <w:vAlign w:val="center"/>
          </w:tcPr>
          <w:p w14:paraId="72EB6B3C">
            <w:pPr>
              <w:spacing w:line="320" w:lineRule="exact"/>
              <w:ind w:firstLine="480"/>
              <w:jc w:val="center"/>
              <w:rPr>
                <w:rFonts w:ascii="宋体" w:hAnsi="宋体"/>
                <w:color w:val="auto"/>
                <w:sz w:val="24"/>
                <w:szCs w:val="24"/>
              </w:rPr>
            </w:pPr>
          </w:p>
        </w:tc>
        <w:tc>
          <w:tcPr>
            <w:tcW w:w="1908" w:type="dxa"/>
            <w:vMerge w:val="restart"/>
            <w:vAlign w:val="center"/>
          </w:tcPr>
          <w:p w14:paraId="7F5C44B8">
            <w:pPr>
              <w:spacing w:line="320" w:lineRule="exact"/>
              <w:jc w:val="center"/>
              <w:rPr>
                <w:rFonts w:hint="eastAsia" w:ascii="宋体" w:hAnsi="宋体"/>
                <w:color w:val="auto"/>
                <w:sz w:val="24"/>
                <w:szCs w:val="24"/>
              </w:rPr>
            </w:pPr>
            <w:r>
              <w:rPr>
                <w:rFonts w:hint="eastAsia" w:ascii="宋体" w:hAnsi="宋体"/>
                <w:color w:val="auto"/>
                <w:sz w:val="24"/>
                <w:szCs w:val="24"/>
                <w:lang w:val="en-US" w:eastAsia="zh-CN"/>
              </w:rPr>
              <w:t>白底证件照</w:t>
            </w:r>
          </w:p>
          <w:p w14:paraId="4EFE412A">
            <w:pPr>
              <w:spacing w:line="320" w:lineRule="exact"/>
              <w:jc w:val="center"/>
              <w:rPr>
                <w:rFonts w:hint="default" w:ascii="宋体" w:hAnsi="宋体" w:eastAsia="宋体"/>
                <w:color w:val="auto"/>
                <w:sz w:val="24"/>
                <w:szCs w:val="24"/>
                <w:lang w:val="en-US" w:eastAsia="zh-CN"/>
              </w:rPr>
            </w:pPr>
            <w:r>
              <w:rPr>
                <w:rFonts w:hint="eastAsia" w:ascii="宋体" w:hAnsi="宋体"/>
                <w:color w:val="auto"/>
                <w:sz w:val="24"/>
                <w:szCs w:val="24"/>
                <w:lang w:eastAsia="zh-CN"/>
              </w:rPr>
              <w:t>（</w:t>
            </w:r>
            <w:r>
              <w:rPr>
                <w:rFonts w:hint="eastAsia" w:ascii="宋体" w:hAnsi="宋体"/>
                <w:color w:val="auto"/>
                <w:sz w:val="24"/>
                <w:szCs w:val="24"/>
                <w:lang w:val="en-US" w:eastAsia="zh-CN"/>
              </w:rPr>
              <w:t>电子版）</w:t>
            </w:r>
          </w:p>
        </w:tc>
      </w:tr>
      <w:tr w14:paraId="4913D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880" w:type="dxa"/>
            <w:vAlign w:val="center"/>
          </w:tcPr>
          <w:p w14:paraId="51235E6B">
            <w:pPr>
              <w:spacing w:line="320" w:lineRule="exact"/>
              <w:jc w:val="center"/>
              <w:rPr>
                <w:rFonts w:ascii="宋体" w:hAnsi="宋体"/>
                <w:color w:val="auto"/>
                <w:sz w:val="24"/>
                <w:szCs w:val="24"/>
              </w:rPr>
            </w:pPr>
            <w:r>
              <w:rPr>
                <w:rFonts w:hint="eastAsia" w:ascii="宋体" w:hAnsi="宋体"/>
                <w:color w:val="auto"/>
                <w:sz w:val="24"/>
                <w:szCs w:val="24"/>
              </w:rPr>
              <w:t>出生年月</w:t>
            </w:r>
          </w:p>
        </w:tc>
        <w:tc>
          <w:tcPr>
            <w:tcW w:w="2059" w:type="dxa"/>
            <w:vAlign w:val="center"/>
          </w:tcPr>
          <w:p w14:paraId="11CCC918">
            <w:pPr>
              <w:spacing w:line="320" w:lineRule="exact"/>
              <w:ind w:firstLine="480"/>
              <w:jc w:val="center"/>
              <w:rPr>
                <w:rFonts w:ascii="宋体" w:hAnsi="宋体"/>
                <w:color w:val="auto"/>
                <w:sz w:val="24"/>
                <w:szCs w:val="24"/>
              </w:rPr>
            </w:pPr>
          </w:p>
        </w:tc>
        <w:tc>
          <w:tcPr>
            <w:tcW w:w="1800" w:type="dxa"/>
            <w:gridSpan w:val="2"/>
            <w:vAlign w:val="center"/>
          </w:tcPr>
          <w:p w14:paraId="1B16F8AD">
            <w:pPr>
              <w:spacing w:line="320" w:lineRule="exact"/>
              <w:jc w:val="center"/>
              <w:rPr>
                <w:rFonts w:ascii="宋体" w:hAnsi="宋体"/>
                <w:color w:val="auto"/>
                <w:sz w:val="24"/>
                <w:szCs w:val="24"/>
              </w:rPr>
            </w:pPr>
            <w:r>
              <w:rPr>
                <w:rFonts w:hint="eastAsia" w:ascii="宋体" w:hAnsi="宋体"/>
                <w:color w:val="auto"/>
                <w:sz w:val="24"/>
                <w:szCs w:val="24"/>
              </w:rPr>
              <w:t>手    机</w:t>
            </w:r>
          </w:p>
        </w:tc>
        <w:tc>
          <w:tcPr>
            <w:tcW w:w="2131" w:type="dxa"/>
            <w:gridSpan w:val="2"/>
            <w:vAlign w:val="center"/>
          </w:tcPr>
          <w:p w14:paraId="7ABCEAE6">
            <w:pPr>
              <w:spacing w:line="320" w:lineRule="exact"/>
              <w:ind w:firstLine="480"/>
              <w:jc w:val="center"/>
              <w:rPr>
                <w:rFonts w:ascii="宋体" w:hAnsi="宋体"/>
                <w:color w:val="auto"/>
                <w:sz w:val="24"/>
                <w:szCs w:val="24"/>
              </w:rPr>
            </w:pPr>
          </w:p>
        </w:tc>
        <w:tc>
          <w:tcPr>
            <w:tcW w:w="1908" w:type="dxa"/>
            <w:vMerge w:val="continue"/>
            <w:vAlign w:val="center"/>
          </w:tcPr>
          <w:p w14:paraId="5D921BC5">
            <w:pPr>
              <w:spacing w:line="320" w:lineRule="exact"/>
              <w:ind w:firstLine="480"/>
              <w:jc w:val="center"/>
              <w:rPr>
                <w:rFonts w:ascii="宋体" w:hAnsi="宋体"/>
                <w:color w:val="auto"/>
                <w:sz w:val="24"/>
                <w:szCs w:val="24"/>
              </w:rPr>
            </w:pPr>
          </w:p>
        </w:tc>
      </w:tr>
      <w:tr w14:paraId="6016C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880" w:type="dxa"/>
            <w:vAlign w:val="center"/>
          </w:tcPr>
          <w:p w14:paraId="74D286EB">
            <w:pPr>
              <w:spacing w:line="320" w:lineRule="exact"/>
              <w:jc w:val="center"/>
              <w:rPr>
                <w:rFonts w:ascii="宋体" w:hAnsi="宋体" w:eastAsiaTheme="minorEastAsia"/>
                <w:color w:val="auto"/>
                <w:sz w:val="24"/>
                <w:szCs w:val="24"/>
              </w:rPr>
            </w:pPr>
            <w:r>
              <w:rPr>
                <w:rFonts w:hint="eastAsia" w:ascii="宋体" w:hAnsi="宋体"/>
                <w:color w:val="auto"/>
                <w:sz w:val="24"/>
                <w:szCs w:val="24"/>
              </w:rPr>
              <w:t>职    务</w:t>
            </w:r>
          </w:p>
        </w:tc>
        <w:tc>
          <w:tcPr>
            <w:tcW w:w="2059" w:type="dxa"/>
            <w:vAlign w:val="center"/>
          </w:tcPr>
          <w:p w14:paraId="06FC5BA0">
            <w:pPr>
              <w:spacing w:line="320" w:lineRule="exact"/>
              <w:ind w:firstLine="480"/>
              <w:jc w:val="center"/>
              <w:rPr>
                <w:rFonts w:ascii="宋体" w:hAnsi="宋体"/>
                <w:color w:val="auto"/>
                <w:sz w:val="24"/>
                <w:szCs w:val="24"/>
              </w:rPr>
            </w:pPr>
          </w:p>
        </w:tc>
        <w:tc>
          <w:tcPr>
            <w:tcW w:w="1800" w:type="dxa"/>
            <w:gridSpan w:val="2"/>
            <w:vAlign w:val="center"/>
          </w:tcPr>
          <w:p w14:paraId="47FFA170">
            <w:pPr>
              <w:spacing w:line="320" w:lineRule="exact"/>
              <w:jc w:val="center"/>
              <w:rPr>
                <w:rFonts w:ascii="宋体" w:hAnsi="宋体"/>
                <w:color w:val="auto"/>
                <w:sz w:val="24"/>
                <w:szCs w:val="24"/>
              </w:rPr>
            </w:pPr>
            <w:r>
              <w:rPr>
                <w:rFonts w:hint="eastAsia" w:ascii="宋体" w:hAnsi="宋体"/>
                <w:color w:val="auto"/>
                <w:sz w:val="24"/>
                <w:szCs w:val="24"/>
              </w:rPr>
              <w:t>职    称</w:t>
            </w:r>
          </w:p>
        </w:tc>
        <w:tc>
          <w:tcPr>
            <w:tcW w:w="2131" w:type="dxa"/>
            <w:gridSpan w:val="2"/>
            <w:vAlign w:val="center"/>
          </w:tcPr>
          <w:p w14:paraId="35D91EAA">
            <w:pPr>
              <w:spacing w:line="320" w:lineRule="exact"/>
              <w:ind w:firstLine="480"/>
              <w:jc w:val="center"/>
              <w:rPr>
                <w:rFonts w:ascii="宋体" w:hAnsi="宋体"/>
                <w:color w:val="auto"/>
                <w:sz w:val="24"/>
                <w:szCs w:val="24"/>
              </w:rPr>
            </w:pPr>
          </w:p>
        </w:tc>
        <w:tc>
          <w:tcPr>
            <w:tcW w:w="1908" w:type="dxa"/>
            <w:vMerge w:val="continue"/>
            <w:vAlign w:val="center"/>
          </w:tcPr>
          <w:p w14:paraId="082A40AD">
            <w:pPr>
              <w:spacing w:line="320" w:lineRule="exact"/>
              <w:ind w:firstLine="480"/>
              <w:jc w:val="center"/>
              <w:rPr>
                <w:rFonts w:ascii="宋体" w:hAnsi="宋体"/>
                <w:color w:val="auto"/>
                <w:sz w:val="24"/>
                <w:szCs w:val="24"/>
              </w:rPr>
            </w:pPr>
          </w:p>
        </w:tc>
      </w:tr>
      <w:tr w14:paraId="0D12B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880" w:type="dxa"/>
            <w:vAlign w:val="center"/>
          </w:tcPr>
          <w:p w14:paraId="52B40E16">
            <w:pPr>
              <w:spacing w:line="320" w:lineRule="exact"/>
              <w:jc w:val="center"/>
              <w:rPr>
                <w:rFonts w:ascii="宋体" w:hAnsi="宋体" w:eastAsiaTheme="minorEastAsia"/>
                <w:color w:val="auto"/>
                <w:sz w:val="24"/>
                <w:szCs w:val="24"/>
              </w:rPr>
            </w:pPr>
            <w:r>
              <w:rPr>
                <w:rFonts w:hint="eastAsia" w:ascii="宋体" w:hAnsi="宋体" w:eastAsiaTheme="minorEastAsia"/>
                <w:color w:val="auto"/>
                <w:sz w:val="24"/>
                <w:szCs w:val="24"/>
              </w:rPr>
              <w:t>最高学历</w:t>
            </w:r>
          </w:p>
        </w:tc>
        <w:tc>
          <w:tcPr>
            <w:tcW w:w="2059" w:type="dxa"/>
            <w:vAlign w:val="center"/>
          </w:tcPr>
          <w:p w14:paraId="4B96A8EB">
            <w:pPr>
              <w:spacing w:line="320" w:lineRule="exact"/>
              <w:ind w:firstLine="480"/>
              <w:jc w:val="center"/>
              <w:rPr>
                <w:rFonts w:ascii="宋体" w:hAnsi="宋体"/>
                <w:color w:val="auto"/>
                <w:sz w:val="24"/>
                <w:szCs w:val="24"/>
              </w:rPr>
            </w:pPr>
          </w:p>
        </w:tc>
        <w:tc>
          <w:tcPr>
            <w:tcW w:w="1800" w:type="dxa"/>
            <w:gridSpan w:val="2"/>
            <w:vAlign w:val="center"/>
          </w:tcPr>
          <w:p w14:paraId="21B7F13C">
            <w:pPr>
              <w:spacing w:line="320" w:lineRule="exact"/>
              <w:jc w:val="center"/>
              <w:rPr>
                <w:rFonts w:ascii="宋体" w:hAnsi="宋体"/>
                <w:color w:val="auto"/>
                <w:sz w:val="24"/>
                <w:szCs w:val="24"/>
              </w:rPr>
            </w:pPr>
            <w:r>
              <w:rPr>
                <w:rFonts w:hint="eastAsia" w:ascii="宋体" w:hAnsi="宋体"/>
                <w:color w:val="auto"/>
                <w:sz w:val="24"/>
                <w:szCs w:val="24"/>
              </w:rPr>
              <w:t>邮   箱</w:t>
            </w:r>
          </w:p>
        </w:tc>
        <w:tc>
          <w:tcPr>
            <w:tcW w:w="2131" w:type="dxa"/>
            <w:gridSpan w:val="2"/>
            <w:vAlign w:val="center"/>
          </w:tcPr>
          <w:p w14:paraId="33459704">
            <w:pPr>
              <w:spacing w:line="320" w:lineRule="exact"/>
              <w:ind w:firstLine="480"/>
              <w:jc w:val="center"/>
              <w:rPr>
                <w:rFonts w:ascii="宋体" w:hAnsi="宋体"/>
                <w:color w:val="auto"/>
                <w:sz w:val="24"/>
                <w:szCs w:val="24"/>
              </w:rPr>
            </w:pPr>
          </w:p>
        </w:tc>
        <w:tc>
          <w:tcPr>
            <w:tcW w:w="1908" w:type="dxa"/>
            <w:vMerge w:val="continue"/>
            <w:vAlign w:val="center"/>
          </w:tcPr>
          <w:p w14:paraId="71E8EA71">
            <w:pPr>
              <w:spacing w:line="320" w:lineRule="exact"/>
              <w:ind w:firstLine="480"/>
              <w:jc w:val="center"/>
              <w:rPr>
                <w:rFonts w:ascii="宋体" w:hAnsi="宋体"/>
                <w:color w:val="auto"/>
                <w:sz w:val="24"/>
                <w:szCs w:val="24"/>
              </w:rPr>
            </w:pPr>
          </w:p>
        </w:tc>
      </w:tr>
      <w:tr w14:paraId="42635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880" w:type="dxa"/>
            <w:vAlign w:val="center"/>
          </w:tcPr>
          <w:p w14:paraId="563C2395">
            <w:pPr>
              <w:spacing w:line="320" w:lineRule="exact"/>
              <w:jc w:val="center"/>
              <w:rPr>
                <w:rFonts w:ascii="宋体" w:hAnsi="宋体"/>
                <w:color w:val="auto"/>
                <w:sz w:val="24"/>
                <w:szCs w:val="24"/>
              </w:rPr>
            </w:pPr>
            <w:r>
              <w:rPr>
                <w:rFonts w:hint="eastAsia" w:ascii="宋体" w:hAnsi="宋体"/>
                <w:color w:val="auto"/>
                <w:sz w:val="24"/>
                <w:szCs w:val="24"/>
              </w:rPr>
              <w:t>从事本行业</w:t>
            </w:r>
          </w:p>
          <w:p w14:paraId="4B70A356">
            <w:pPr>
              <w:spacing w:line="320" w:lineRule="exact"/>
              <w:jc w:val="center"/>
              <w:rPr>
                <w:rFonts w:ascii="宋体" w:hAnsi="宋体"/>
                <w:color w:val="auto"/>
                <w:sz w:val="24"/>
                <w:szCs w:val="24"/>
              </w:rPr>
            </w:pPr>
            <w:r>
              <w:rPr>
                <w:rFonts w:hint="eastAsia" w:ascii="宋体" w:hAnsi="宋体"/>
                <w:color w:val="auto"/>
                <w:sz w:val="24"/>
                <w:szCs w:val="24"/>
              </w:rPr>
              <w:t>工作年限</w:t>
            </w:r>
          </w:p>
        </w:tc>
        <w:tc>
          <w:tcPr>
            <w:tcW w:w="2059" w:type="dxa"/>
            <w:vAlign w:val="center"/>
          </w:tcPr>
          <w:p w14:paraId="56BBB6BF">
            <w:pPr>
              <w:ind w:firstLine="482"/>
              <w:jc w:val="center"/>
              <w:rPr>
                <w:rFonts w:ascii="宋体" w:hAnsi="宋体" w:eastAsiaTheme="minorEastAsia"/>
                <w:color w:val="auto"/>
                <w:sz w:val="24"/>
                <w:szCs w:val="24"/>
              </w:rPr>
            </w:pPr>
          </w:p>
        </w:tc>
        <w:tc>
          <w:tcPr>
            <w:tcW w:w="1810" w:type="dxa"/>
            <w:gridSpan w:val="3"/>
            <w:vAlign w:val="center"/>
          </w:tcPr>
          <w:p w14:paraId="467F44EF">
            <w:pPr>
              <w:spacing w:line="300" w:lineRule="exact"/>
              <w:jc w:val="center"/>
              <w:rPr>
                <w:rFonts w:ascii="宋体" w:hAnsi="宋体" w:eastAsiaTheme="minorEastAsia"/>
                <w:color w:val="auto"/>
                <w:sz w:val="24"/>
                <w:szCs w:val="24"/>
              </w:rPr>
            </w:pPr>
            <w:r>
              <w:rPr>
                <w:rFonts w:hint="eastAsia" w:ascii="宋体" w:hAnsi="宋体"/>
                <w:color w:val="auto"/>
                <w:sz w:val="24"/>
                <w:szCs w:val="24"/>
              </w:rPr>
              <w:t>身份证号码</w:t>
            </w:r>
          </w:p>
        </w:tc>
        <w:tc>
          <w:tcPr>
            <w:tcW w:w="4029" w:type="dxa"/>
            <w:gridSpan w:val="2"/>
            <w:vAlign w:val="center"/>
          </w:tcPr>
          <w:p w14:paraId="6B7279ED">
            <w:pPr>
              <w:ind w:firstLine="482"/>
              <w:jc w:val="center"/>
              <w:rPr>
                <w:rFonts w:ascii="宋体" w:hAnsi="宋体" w:eastAsiaTheme="minorEastAsia"/>
                <w:color w:val="auto"/>
                <w:sz w:val="24"/>
                <w:szCs w:val="24"/>
              </w:rPr>
            </w:pPr>
          </w:p>
        </w:tc>
      </w:tr>
      <w:tr w14:paraId="5F3CF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880" w:type="dxa"/>
            <w:vAlign w:val="center"/>
          </w:tcPr>
          <w:p w14:paraId="7F369FF1">
            <w:pPr>
              <w:spacing w:line="320" w:lineRule="exact"/>
              <w:jc w:val="both"/>
              <w:rPr>
                <w:rFonts w:ascii="宋体" w:hAnsi="宋体" w:eastAsiaTheme="minorEastAsia" w:cstheme="minorBidi"/>
                <w:color w:val="auto"/>
                <w:sz w:val="24"/>
                <w:szCs w:val="24"/>
              </w:rPr>
            </w:pPr>
            <w:r>
              <w:rPr>
                <w:rFonts w:hint="eastAsia" w:ascii="宋体" w:hAnsi="宋体"/>
                <w:color w:val="auto"/>
                <w:sz w:val="24"/>
                <w:szCs w:val="24"/>
              </w:rPr>
              <w:t>工作单位</w:t>
            </w:r>
          </w:p>
        </w:tc>
        <w:tc>
          <w:tcPr>
            <w:tcW w:w="7898" w:type="dxa"/>
            <w:gridSpan w:val="6"/>
            <w:vAlign w:val="center"/>
          </w:tcPr>
          <w:p w14:paraId="3A076C76">
            <w:pPr>
              <w:ind w:firstLine="482"/>
              <w:jc w:val="center"/>
              <w:rPr>
                <w:rFonts w:ascii="宋体" w:hAnsi="宋体" w:eastAsiaTheme="minorEastAsia"/>
                <w:color w:val="auto"/>
                <w:sz w:val="24"/>
                <w:szCs w:val="24"/>
              </w:rPr>
            </w:pPr>
          </w:p>
        </w:tc>
      </w:tr>
      <w:tr w14:paraId="4EEE9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880" w:type="dxa"/>
            <w:vAlign w:val="center"/>
          </w:tcPr>
          <w:p w14:paraId="74C34A22">
            <w:pPr>
              <w:spacing w:line="320" w:lineRule="exact"/>
              <w:jc w:val="both"/>
              <w:rPr>
                <w:rFonts w:ascii="宋体" w:hAnsi="宋体" w:eastAsiaTheme="minorEastAsia" w:cstheme="minorBidi"/>
                <w:color w:val="auto"/>
                <w:sz w:val="24"/>
                <w:szCs w:val="24"/>
              </w:rPr>
            </w:pPr>
            <w:r>
              <w:rPr>
                <w:rFonts w:hint="eastAsia" w:ascii="宋体" w:hAnsi="宋体"/>
                <w:color w:val="auto"/>
                <w:sz w:val="24"/>
                <w:szCs w:val="24"/>
              </w:rPr>
              <w:t>工作单位地址</w:t>
            </w:r>
          </w:p>
        </w:tc>
        <w:tc>
          <w:tcPr>
            <w:tcW w:w="7898" w:type="dxa"/>
            <w:gridSpan w:val="6"/>
            <w:vAlign w:val="center"/>
          </w:tcPr>
          <w:p w14:paraId="7940364E">
            <w:pPr>
              <w:ind w:firstLine="480"/>
              <w:jc w:val="center"/>
              <w:rPr>
                <w:rFonts w:ascii="宋体" w:hAnsi="宋体"/>
                <w:color w:val="auto"/>
                <w:sz w:val="24"/>
                <w:szCs w:val="24"/>
              </w:rPr>
            </w:pPr>
          </w:p>
        </w:tc>
      </w:tr>
      <w:tr w14:paraId="27B26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trPr>
        <w:tc>
          <w:tcPr>
            <w:tcW w:w="1880" w:type="dxa"/>
            <w:tcBorders>
              <w:bottom w:val="single" w:color="auto" w:sz="4" w:space="0"/>
            </w:tcBorders>
            <w:vAlign w:val="center"/>
          </w:tcPr>
          <w:p w14:paraId="0B363064">
            <w:pPr>
              <w:jc w:val="both"/>
              <w:rPr>
                <w:rFonts w:ascii="宋体" w:hAnsi="宋体"/>
                <w:color w:val="auto"/>
                <w:sz w:val="24"/>
                <w:szCs w:val="24"/>
              </w:rPr>
            </w:pPr>
            <w:r>
              <w:rPr>
                <w:rFonts w:hint="eastAsia" w:ascii="宋体" w:hAnsi="宋体"/>
                <w:color w:val="auto"/>
                <w:sz w:val="24"/>
                <w:szCs w:val="24"/>
              </w:rPr>
              <w:t>物业管理行业工作经历</w:t>
            </w:r>
          </w:p>
        </w:tc>
        <w:tc>
          <w:tcPr>
            <w:tcW w:w="7898" w:type="dxa"/>
            <w:gridSpan w:val="6"/>
            <w:tcBorders>
              <w:bottom w:val="single" w:color="auto" w:sz="4" w:space="0"/>
            </w:tcBorders>
            <w:vAlign w:val="center"/>
          </w:tcPr>
          <w:p w14:paraId="507C0B9A">
            <w:pPr>
              <w:spacing w:line="320" w:lineRule="exact"/>
              <w:ind w:firstLine="480"/>
              <w:jc w:val="center"/>
              <w:rPr>
                <w:rFonts w:ascii="宋体" w:hAnsi="宋体"/>
                <w:color w:val="auto"/>
                <w:sz w:val="24"/>
                <w:szCs w:val="24"/>
              </w:rPr>
            </w:pPr>
          </w:p>
        </w:tc>
      </w:tr>
      <w:tr w14:paraId="6FB26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1" w:hRule="atLeast"/>
        </w:trPr>
        <w:tc>
          <w:tcPr>
            <w:tcW w:w="4876" w:type="dxa"/>
            <w:gridSpan w:val="3"/>
            <w:tcBorders>
              <w:bottom w:val="single" w:color="auto" w:sz="4" w:space="0"/>
            </w:tcBorders>
            <w:vAlign w:val="center"/>
          </w:tcPr>
          <w:p w14:paraId="02FE8941">
            <w:pPr>
              <w:jc w:val="center"/>
              <w:rPr>
                <w:rFonts w:hint="eastAsia" w:ascii="宋体" w:hAnsi="宋体"/>
                <w:color w:val="auto"/>
                <w:sz w:val="24"/>
                <w:szCs w:val="24"/>
              </w:rPr>
            </w:pPr>
            <w:r>
              <w:rPr>
                <w:rFonts w:hint="eastAsia" w:ascii="宋体" w:hAnsi="宋体"/>
                <w:color w:val="auto"/>
                <w:sz w:val="24"/>
                <w:szCs w:val="24"/>
              </w:rPr>
              <w:t>身份证</w:t>
            </w:r>
            <w:r>
              <w:rPr>
                <w:rFonts w:hint="eastAsia" w:ascii="宋体" w:hAnsi="宋体"/>
                <w:b/>
                <w:bCs/>
                <w:color w:val="auto"/>
                <w:sz w:val="24"/>
                <w:szCs w:val="24"/>
              </w:rPr>
              <w:t>人像面</w:t>
            </w:r>
          </w:p>
          <w:p w14:paraId="184CACA2">
            <w:pPr>
              <w:jc w:val="center"/>
              <w:rPr>
                <w:rFonts w:hint="eastAsia" w:ascii="宋体" w:hAnsi="宋体"/>
                <w:color w:val="auto"/>
                <w:sz w:val="24"/>
                <w:szCs w:val="24"/>
              </w:rPr>
            </w:pPr>
            <w:r>
              <w:rPr>
                <w:rFonts w:hint="eastAsia" w:ascii="宋体" w:hAnsi="宋体"/>
                <w:color w:val="auto"/>
                <w:sz w:val="24"/>
                <w:szCs w:val="24"/>
                <w:lang w:eastAsia="zh-CN"/>
              </w:rPr>
              <w:t>（</w:t>
            </w:r>
            <w:r>
              <w:rPr>
                <w:rFonts w:hint="eastAsia" w:ascii="宋体" w:hAnsi="宋体"/>
                <w:color w:val="auto"/>
                <w:sz w:val="24"/>
                <w:szCs w:val="24"/>
                <w:lang w:val="en-US" w:eastAsia="zh-CN"/>
              </w:rPr>
              <w:t>电子版）</w:t>
            </w:r>
          </w:p>
        </w:tc>
        <w:tc>
          <w:tcPr>
            <w:tcW w:w="4902" w:type="dxa"/>
            <w:gridSpan w:val="4"/>
            <w:tcBorders>
              <w:bottom w:val="single" w:color="auto" w:sz="4" w:space="0"/>
            </w:tcBorders>
            <w:vAlign w:val="center"/>
          </w:tcPr>
          <w:p w14:paraId="1DE3FA94">
            <w:pPr>
              <w:jc w:val="center"/>
              <w:rPr>
                <w:rFonts w:hint="eastAsia" w:ascii="宋体" w:hAnsi="宋体"/>
                <w:color w:val="auto"/>
                <w:sz w:val="24"/>
                <w:szCs w:val="24"/>
              </w:rPr>
            </w:pPr>
            <w:r>
              <w:rPr>
                <w:rFonts w:hint="eastAsia" w:ascii="宋体" w:hAnsi="宋体"/>
                <w:color w:val="auto"/>
                <w:sz w:val="24"/>
                <w:szCs w:val="24"/>
              </w:rPr>
              <w:t>身份证</w:t>
            </w:r>
            <w:r>
              <w:rPr>
                <w:rFonts w:hint="eastAsia" w:ascii="宋体" w:hAnsi="宋体"/>
                <w:b/>
                <w:bCs/>
                <w:color w:val="auto"/>
                <w:sz w:val="24"/>
                <w:szCs w:val="24"/>
              </w:rPr>
              <w:t>国徽面</w:t>
            </w:r>
          </w:p>
          <w:p w14:paraId="45F3AC0B">
            <w:pPr>
              <w:jc w:val="center"/>
              <w:rPr>
                <w:rFonts w:hint="eastAsia" w:ascii="宋体" w:hAnsi="宋体"/>
                <w:color w:val="auto"/>
                <w:sz w:val="24"/>
                <w:szCs w:val="24"/>
              </w:rPr>
            </w:pPr>
            <w:r>
              <w:rPr>
                <w:rFonts w:hint="eastAsia" w:ascii="宋体" w:hAnsi="宋体"/>
                <w:color w:val="auto"/>
                <w:sz w:val="24"/>
                <w:szCs w:val="24"/>
                <w:lang w:eastAsia="zh-CN"/>
              </w:rPr>
              <w:t>（</w:t>
            </w:r>
            <w:r>
              <w:rPr>
                <w:rFonts w:hint="eastAsia" w:ascii="宋体" w:hAnsi="宋体"/>
                <w:color w:val="auto"/>
                <w:sz w:val="24"/>
                <w:szCs w:val="24"/>
                <w:lang w:val="en-US" w:eastAsia="zh-CN"/>
              </w:rPr>
              <w:t>电子版）</w:t>
            </w:r>
          </w:p>
        </w:tc>
      </w:tr>
    </w:tbl>
    <w:p w14:paraId="01AC5CA6">
      <w:pPr>
        <w:spacing w:beforeLines="50"/>
        <w:ind w:left="480" w:hanging="480" w:hangingChars="200"/>
        <w:rPr>
          <w:color w:val="auto"/>
        </w:rPr>
      </w:pPr>
      <w:r>
        <w:rPr>
          <w:rFonts w:hint="eastAsia" w:ascii="仿宋_GB2312" w:eastAsia="仿宋_GB2312"/>
          <w:color w:val="auto"/>
          <w:sz w:val="24"/>
        </w:rPr>
        <w:t>注：本表由学员用电子版打印完整，所填资料需真实有效，在相关处</w:t>
      </w:r>
      <w:r>
        <w:rPr>
          <w:rFonts w:hint="eastAsia" w:ascii="仿宋_GB2312" w:eastAsia="仿宋_GB2312"/>
          <w:color w:val="auto"/>
          <w:sz w:val="24"/>
          <w:lang w:val="en-US" w:eastAsia="zh-CN"/>
        </w:rPr>
        <w:t>附</w:t>
      </w:r>
      <w:r>
        <w:rPr>
          <w:rFonts w:hint="eastAsia" w:ascii="仿宋_GB2312" w:eastAsia="仿宋_GB2312"/>
          <w:color w:val="auto"/>
          <w:sz w:val="24"/>
        </w:rPr>
        <w:t>一寸白底彩色免冠近照和身份证复印件</w:t>
      </w:r>
      <w:r>
        <w:rPr>
          <w:rFonts w:hint="eastAsia" w:ascii="仿宋_GB2312" w:eastAsia="仿宋_GB2312"/>
          <w:color w:val="auto"/>
          <w:sz w:val="24"/>
          <w:lang w:eastAsia="zh-CN"/>
        </w:rPr>
        <w:t>（</w:t>
      </w:r>
      <w:r>
        <w:rPr>
          <w:rFonts w:hint="eastAsia" w:ascii="仿宋_GB2312" w:eastAsia="仿宋_GB2312"/>
          <w:color w:val="auto"/>
          <w:sz w:val="24"/>
          <w:lang w:val="en-US" w:eastAsia="zh-CN"/>
        </w:rPr>
        <w:t>电子版）</w:t>
      </w:r>
      <w:r>
        <w:rPr>
          <w:rFonts w:hint="eastAsia" w:ascii="仿宋_GB2312" w:eastAsia="仿宋_GB2312"/>
          <w:color w:val="auto"/>
          <w:sz w:val="24"/>
        </w:rPr>
        <w:t>，报到时交培训会务组。</w:t>
      </w:r>
    </w:p>
    <w:p w14:paraId="4A065004">
      <w:bookmarkStart w:id="0" w:name="_GoBack"/>
      <w:bookmarkEnd w:id="0"/>
    </w:p>
    <w:sectPr>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1F9F40"/>
    <w:multiLevelType w:val="singleLevel"/>
    <w:tmpl w:val="2C1F9F40"/>
    <w:lvl w:ilvl="0" w:tentative="0">
      <w:start w:val="1"/>
      <w:numFmt w:val="decimal"/>
      <w:pStyle w:val="2"/>
      <w:lvlText w:val="%1."/>
      <w:lvlJc w:val="left"/>
      <w:pPr>
        <w:tabs>
          <w:tab w:val="left" w:pos="780"/>
        </w:tabs>
        <w:ind w:left="7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3YzVjNjIwNGM1ODg5ZDliZWNmMmI1OWFlMjFiZjkifQ=="/>
  </w:docVars>
  <w:rsids>
    <w:rsidRoot w:val="0C736123"/>
    <w:rsid w:val="0C7361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List Number 2"/>
    <w:basedOn w:val="1"/>
    <w:uiPriority w:val="0"/>
    <w:pPr>
      <w:numPr>
        <w:ilvl w:val="0"/>
        <w:numId w:val="1"/>
      </w:numPr>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unhideWhenUsed/>
    <w:qFormat/>
    <w:uiPriority w:val="99"/>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2024-08-16T09:11:00Z</dcterms:created>
  <dc:creator>段文婧</dc:creator>
  <cp:lastModifiedBy>段文婧</cp:lastModifiedBy>
  <dcterms:modified xsi:type="dcterms:W3CDTF">2024-08-16T09:11:51Z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C4CB690D9F1042DE8F4FDA9698AFCEA9_11</vt:lpwstr>
  </property>
</Properties>
</file>